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谈判</w:t>
      </w:r>
      <w:r>
        <w:rPr>
          <w:rFonts w:hint="eastAsia" w:ascii="华文中宋" w:hAnsi="华文中宋" w:eastAsia="华文中宋"/>
        </w:rPr>
        <w:t>公告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安全生产月公益宣传片摄制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2万元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今年6月是第23个“安全生产月”，主题是“人人讲安全、个个会应急——畅通生命通道”，为了更好地开展2024年“安全生产月”活动，大力提升公众安全素质，现筹备拍摄安全生产月公益宣传片。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30天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满足《中华人民共和国政府采购法》第二十二条规定；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落实政府采购政策需满足的资格要求：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>小微企业</w:t>
      </w:r>
    </w:p>
    <w:p>
      <w:pPr>
        <w:ind w:firstLine="560" w:firstLineChars="200"/>
        <w:rPr>
          <w:rFonts w:ascii="仿宋" w:hAnsi="仿宋" w:eastAsia="仿宋"/>
          <w:i/>
          <w:i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本项目的特定资格要求：</w:t>
      </w: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三、获取招标文件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三、获取招标文件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8:30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12:00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14:30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18:00</w:t>
      </w:r>
      <w:r>
        <w:rPr>
          <w:rFonts w:hint="eastAsia" w:ascii="仿宋" w:hAnsi="仿宋" w:eastAsia="仿宋" w:cs="宋体"/>
          <w:sz w:val="28"/>
          <w:szCs w:val="28"/>
        </w:rPr>
        <w:t>（北京时间，法定节假日除外）</w:t>
      </w:r>
    </w:p>
    <w:p>
      <w:pPr>
        <w:spacing w:line="360" w:lineRule="auto"/>
        <w:ind w:firstLine="540"/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地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点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运城市盐湖区河东东街426号</w:t>
      </w:r>
    </w:p>
    <w:p>
      <w:pPr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方式：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在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运城市应急管理局办公室获取招标文件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，此为获取招标文件的唯一途径，通过其他渠道获取招标文件的不具备投标资格。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四、提交投标文件截止时间、开标时间和地点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u w:val="none"/>
          <w:lang w:eastAsia="zh-CN"/>
        </w:rPr>
        <w:t>时间：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运城市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应急管理局</w:t>
      </w:r>
    </w:p>
    <w:p>
      <w:pPr>
        <w:pStyle w:val="5"/>
        <w:spacing w:beforeAutospacing="0" w:afterAutospacing="0"/>
        <w:ind w:firstLine="560" w:firstLineChars="200"/>
        <w:jc w:val="both"/>
        <w:rPr>
          <w:rFonts w:ascii="仿宋" w:hAnsi="仿宋" w:eastAsia="仿宋"/>
          <w:color w:val="FF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方式：</w:t>
      </w:r>
      <w:r>
        <w:rPr>
          <w:rFonts w:hint="eastAsia" w:ascii="仿宋" w:hAnsi="仿宋" w:eastAsia="仿宋"/>
          <w:color w:val="auto"/>
          <w:kern w:val="2"/>
          <w:sz w:val="28"/>
          <w:szCs w:val="28"/>
          <w:u w:val="single"/>
          <w:lang w:val="en-US" w:eastAsia="zh-CN"/>
        </w:rPr>
        <w:t>拟采取内部控制谈判程序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</w:p>
    <w:p>
      <w:pPr>
        <w:pStyle w:val="8"/>
        <w:ind w:left="495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无</w:t>
      </w:r>
    </w:p>
    <w:p>
      <w:pPr>
        <w:pStyle w:val="3"/>
        <w:spacing w:line="360" w:lineRule="auto"/>
        <w:rPr>
          <w:rFonts w:asci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七、对本次招标提出询问，请按以下方式联系。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</w:t>
      </w:r>
      <w:r>
        <w:rPr>
          <w:rFonts w:ascii="仿宋" w:hAnsi="仿宋" w:eastAsia="仿宋" w:cs="宋体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运城市应急管理局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运城市盐湖区河东东街426号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0359-2092048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cs="宋体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项目联系方式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吕含嫣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360" w:lineRule="auto"/>
        <w:ind w:firstLine="84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0359-2381113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74CB"/>
    <w:rsid w:val="25EE1EEB"/>
    <w:rsid w:val="3F014EAA"/>
    <w:rsid w:val="50EC5467"/>
    <w:rsid w:val="59CE74CB"/>
    <w:rsid w:val="5F572653"/>
    <w:rsid w:val="D75D0FE4"/>
    <w:rsid w:val="F7FBE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市安全生产监督管理局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2021-05-24T23:20:00Z</dcterms:created>
  <dc:creator>Administrator</dc:creator>
  <cp:lastModifiedBy>greatwall</cp:lastModifiedBy>
  <dcterms:modified xsi:type="dcterms:W3CDTF">2024-05-28T18:42:36Z</dcterms:modified>
  <dc:title>谈判公告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