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运城市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城市管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事项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服务指南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事项编码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行政处罚：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1300-B-00100-140800至1300-B-22400-140800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行政强制：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1300-C-00100-140800至1300-C-00700-140800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实施部门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运城市城市管理综合行政执法局综合行政执法队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事项类别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行政处罚权、行政强制权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四、适用范围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行政处罚权共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224项，其中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包括城市规划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项、抗震减灾3项、城市道路及桥梁管理7项、城镇燃气8项、城市供水与节约用水10项、城镇排水与污水处理12项、房地产管理42项、建筑管理22项、建设工程安全18项、建设质量16项、民用建筑节能11项、图纸审查勘察设计方面5项、招标投标方面15项、工程造价方面12项、物业管理方面12项，城市绿化方面6项，城市照明方面2项、消防方面2项、市容和环境卫生管理方面13项，养犬管理2项，游乐园和动物园管理4项；行政强制7项，其中建筑工程2项，影响市容市貌、环境卫生5项。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1、【法律】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《中华人民共和国行政处罚法》、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《中华人民共和国行政强制法》、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法》、《中华人民共和国城乡规划法》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、《中华人民共和国建筑法》、《中华人民共和国招标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投标法》、《中华人民共和国消防法》、《中华人民共和国大气污染防治法》、《中华人民共和国国家安全法》等法律。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２、【行政法规】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政府信息公开条例》、《优化营商环境条例》、《建设工程质量管理条例》、《建设工程安全生产管理条例》、《民用建筑节能条例》、《城市绿化条例》、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《城市道路管理条例》、《城镇排水与污水处理条例》、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《招标投标法实施条例》、《商品房租赁管理办法》、《物业管理条例》、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《城市市容和环境卫生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管理条例》等法规。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3、【地方性法规】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山西省城乡环境综合治理条例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、《山西省城市市容和环境卫生管理实施办法》、《山西省物业管理条例》、《山西省行政执法条例》、《山西省安全生产条例》等法规。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4、【部门规章】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《建筑工程施工许可管理办法》、《建设部建设行政处罚程序暂行规定》、《建筑工程设计招标投标管理管理办法》、《城市建筑垃圾管理规定》、《商品房销售管理条例》、《公共租赁住房管理办法》、《房地产开发企业资质管理规定》、《住宅室内装饰装修管理办法》、《城市管理执法办法》、《城市生活垃圾管理办法》、《建筑工程消防监督管理规定》等规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5.【地方规章】《山西省城市绿化实施办法》、《山西省城市市容和环境卫生管理实施办法》、《运城市实施&lt;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山西省城乡环境综合治理条例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&gt;管理办法》等规章。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六、办理条件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1.在取得行政执法资格的前提下，依法行政、文明执法。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2.建立健全行政执法三项制度的推行，确保执法内外部监督到位。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3.坚持政务公开，广泛接受社会和群众监督。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4.重视群众来信来访，注重发挥新闻媒体的监督作用。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5.合法行政，合理行政，程序正当，高效便民，诚实守信，权责统一。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七、办理方式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简易程序、一般程序、听证程序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八、办理流程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简易程序流程：1、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违法事实清楚，情节简单，后果轻微的违反行政管理行为，执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"http://www.findlaw.cn/108100/" \t "http://china.findlaw.cn/info/xingzheng/xzchufa/xzcfcx/jycx/_blank"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法人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员可当场作出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警告或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50元以下罚款的；2、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执法人员当场作出行政处罚决定的，应当向当事人出示有效证件，按规定认真填写《当场处罚决定书》，当场交付当事人。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当事人对当场作出的行政处罚决定不服的，可以依法申请行政复议或者提起行政诉讼。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4、备案归档。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程序流程：1、适用于一般性罚款和没收所得；2、符合立案条件的，立案审核；3、两名以上执法人员调查取证；4、案件调查终结审批及证据材料审查；5、应当处罚的，依法作出行政处罚告知书并送达，同时告知当事人行政复议或行政诉讼权利，重大处罚告知当事人听证权利；6、执行处罚内容；7、结案归档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听证程序流程：1、重大处罚告知当事人听证权利；2、重大处罚相对人提出听证要求的，组织听证并写出听证报告。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九、办理时限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行政处罚一般程序在三个月内调查完毕，特殊情况可以延长。行政机关应当在7日内依照《民事诉讼法》的有关规定，将行政处罚决定书送达当事人。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十、结果送达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直接送达、留置送达、委托送达、邮寄送达、转交送达、电子送达、公告送达。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十一、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行政</w:t>
      </w:r>
      <w:r>
        <w:rPr>
          <w:rFonts w:hint="eastAsia" w:ascii="黑体" w:hAnsi="黑体" w:eastAsia="黑体" w:cs="黑体"/>
          <w:sz w:val="32"/>
          <w:szCs w:val="32"/>
        </w:rPr>
        <w:t>救济途径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与方式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1、享有权利：听证权利、陈述申辩权利、行政复议权利、行政诉讼权利、国家赔偿权利。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2、救济途径：向作出具体行政行为的行政执法部门申请进行听证、陈述申辩；向上级执法部门或本级政府法制机构提出行政复议；向被告所在地人民法院提出行政诉讼和国家赔偿。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十二、监督</w:t>
      </w:r>
      <w:r>
        <w:rPr>
          <w:rFonts w:hint="eastAsia" w:ascii="黑体" w:hAnsi="黑体" w:eastAsia="黑体" w:cs="黑体"/>
          <w:sz w:val="32"/>
          <w:szCs w:val="32"/>
        </w:rPr>
        <w:t>投诉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渠道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1、投诉举报的方式及途径：举报电话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2381020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2、投诉举报的受理条件：对投诉举报调查核实后，如情况基本属实，我局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法规督察科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予以受理。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3、反馈程序：对情况属实的，做出受理决定，书面或电话告知投诉举报人，对查无实据的，做出不予受理决定，书面或电话告知投诉举报人。</w:t>
      </w:r>
    </w:p>
    <w:p>
      <w:pPr>
        <w:ind w:firstLine="65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运城市盐湖区铺安街金城大厦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城市管理局</w:t>
      </w:r>
    </w:p>
    <w:p>
      <w:pPr>
        <w:ind w:firstLine="65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十三、办理流程图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386070" cy="4408170"/>
            <wp:effectExtent l="0" t="0" r="5080" b="11430"/>
            <wp:docPr id="2" name="图片 2" descr="75b3b46ec344546749231301e3680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5b3b46ec344546749231301e3680d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F5621"/>
    <w:multiLevelType w:val="singleLevel"/>
    <w:tmpl w:val="FDFF56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0549"/>
    <w:rsid w:val="07594547"/>
    <w:rsid w:val="09335AA2"/>
    <w:rsid w:val="0976313D"/>
    <w:rsid w:val="0AFE12F7"/>
    <w:rsid w:val="0BA248D3"/>
    <w:rsid w:val="0C8602E0"/>
    <w:rsid w:val="155547F1"/>
    <w:rsid w:val="1AA80E44"/>
    <w:rsid w:val="1FF51ABC"/>
    <w:rsid w:val="22D43B9C"/>
    <w:rsid w:val="23220258"/>
    <w:rsid w:val="251113BC"/>
    <w:rsid w:val="326C788F"/>
    <w:rsid w:val="35B55AAC"/>
    <w:rsid w:val="366B27FD"/>
    <w:rsid w:val="36E963BE"/>
    <w:rsid w:val="384B4D17"/>
    <w:rsid w:val="42CD596F"/>
    <w:rsid w:val="4D696EE0"/>
    <w:rsid w:val="5978EF70"/>
    <w:rsid w:val="5EDB9723"/>
    <w:rsid w:val="5FD760D7"/>
    <w:rsid w:val="5FFFA523"/>
    <w:rsid w:val="60A108B8"/>
    <w:rsid w:val="64EC2AFC"/>
    <w:rsid w:val="65A535CF"/>
    <w:rsid w:val="74E50C92"/>
    <w:rsid w:val="75FF00CE"/>
    <w:rsid w:val="77BE56FA"/>
    <w:rsid w:val="7B7B90A7"/>
    <w:rsid w:val="7F775699"/>
    <w:rsid w:val="BE71A51C"/>
    <w:rsid w:val="CDFFC936"/>
    <w:rsid w:val="CFCD1E93"/>
    <w:rsid w:val="DAED0CC0"/>
    <w:rsid w:val="DBFF6864"/>
    <w:rsid w:val="DFFF31AE"/>
    <w:rsid w:val="EFBFE3C7"/>
    <w:rsid w:val="EFFE7CF3"/>
    <w:rsid w:val="F0EBC503"/>
    <w:rsid w:val="F76450BE"/>
    <w:rsid w:val="F7CF41D2"/>
    <w:rsid w:val="FDBE075E"/>
    <w:rsid w:val="FFDFC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1886</Words>
  <Characters>1985</Characters>
  <Lines>0</Lines>
  <Paragraphs>0</Paragraphs>
  <TotalTime>0</TotalTime>
  <ScaleCrop>false</ScaleCrop>
  <LinksUpToDate>false</LinksUpToDate>
  <CharactersWithSpaces>7084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西贝</cp:lastModifiedBy>
  <cp:lastPrinted>2020-05-28T06:58:00Z</cp:lastPrinted>
  <dcterms:modified xsi:type="dcterms:W3CDTF">2022-04-28T04:06:43Z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577AFE35D85C4235A41E0D228ACCA8CA</vt:lpwstr>
  </property>
</Properties>
</file>