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21"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02"/>
        <w:gridCol w:w="1163"/>
        <w:gridCol w:w="1635"/>
        <w:gridCol w:w="1365"/>
        <w:gridCol w:w="1440"/>
        <w:gridCol w:w="2130"/>
        <w:gridCol w:w="1245"/>
        <w:gridCol w:w="1290"/>
        <w:gridCol w:w="1915"/>
        <w:gridCol w:w="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14107" w:type="dxa"/>
            <w:gridSpan w:val="10"/>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eastAsia" w:ascii="宋体" w:hAnsi="宋体"/>
                <w:b/>
                <w:i w:val="0"/>
                <w:snapToGrid/>
                <w:color w:val="000000"/>
                <w:sz w:val="48"/>
                <w:u w:val="none"/>
                <w:lang w:eastAsia="zh-CN"/>
              </w:rPr>
              <w:t>运城市司法局</w:t>
            </w:r>
            <w:r>
              <w:rPr>
                <w:rFonts w:hint="default" w:ascii="宋体" w:hAnsi="宋体" w:eastAsia="宋体"/>
                <w:b/>
                <w:i w:val="0"/>
                <w:snapToGrid/>
                <w:color w:val="000000"/>
                <w:sz w:val="48"/>
                <w:u w:val="none"/>
                <w:lang w:eastAsia="zh-CN"/>
              </w:rPr>
              <w:t>重大行政执法决定法制审核目录清单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90" w:hRule="atLeast"/>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执法类别</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审核项目</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承办机构</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审核条件</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审核依据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审核机构</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提交的审核材料</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重点</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20"/>
                <w:szCs w:val="20"/>
                <w:u w:val="none"/>
                <w:lang w:val="en-US" w:eastAsia="zh-CN" w:bidi="ar"/>
              </w:rPr>
              <w:t>行政处罚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对公证机构及公证员违规执业的处罚</w:t>
            </w:r>
            <w:r>
              <w:rPr>
                <w:rFonts w:hint="eastAsia" w:ascii="宋体" w:hAnsi="宋体" w:cs="宋体"/>
                <w:i w:val="0"/>
                <w:color w:val="000000"/>
                <w:kern w:val="0"/>
                <w:sz w:val="20"/>
                <w:szCs w:val="20"/>
                <w:u w:val="none"/>
                <w:lang w:val="en-US" w:eastAsia="zh-CN" w:bidi="ar"/>
              </w:rPr>
              <w:t>；</w:t>
            </w:r>
          </w:p>
          <w:p>
            <w:pPr>
              <w:keepNext w:val="0"/>
              <w:keepLines w:val="0"/>
              <w:widowControl/>
              <w:numPr>
                <w:ilvl w:val="0"/>
                <w:numId w:val="0"/>
              </w:numPr>
              <w:suppressLineNumbers w:val="0"/>
              <w:jc w:val="lef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对违反法律援助规定的的处罚</w:t>
            </w:r>
            <w:r>
              <w:rPr>
                <w:rFonts w:hint="eastAsia" w:ascii="宋体" w:hAnsi="宋体" w:cs="宋体"/>
                <w:i w:val="0"/>
                <w:color w:val="000000"/>
                <w:kern w:val="0"/>
                <w:sz w:val="20"/>
                <w:szCs w:val="20"/>
                <w:u w:val="none"/>
                <w:lang w:val="en-US" w:eastAsia="zh-CN" w:bidi="ar"/>
              </w:rPr>
              <w:t>。</w:t>
            </w:r>
          </w:p>
          <w:p>
            <w:pPr>
              <w:keepNext w:val="0"/>
              <w:keepLines w:val="0"/>
              <w:widowControl/>
              <w:numPr>
                <w:ilvl w:val="0"/>
                <w:numId w:val="0"/>
              </w:numPr>
              <w:suppressLineNumbers w:val="0"/>
              <w:jc w:val="left"/>
              <w:textAlignment w:val="center"/>
              <w:rPr>
                <w:rFonts w:hint="default" w:ascii="宋体" w:hAnsi="宋体" w:cs="宋体"/>
                <w:i w:val="0"/>
                <w:color w:val="000000"/>
                <w:kern w:val="0"/>
                <w:sz w:val="20"/>
                <w:szCs w:val="20"/>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公共法律服务科</w:t>
            </w:r>
          </w:p>
          <w:p>
            <w:pPr>
              <w:kinsoku/>
              <w:autoSpaceDE/>
              <w:autoSpaceDN w:val="0"/>
              <w:jc w:val="left"/>
              <w:textAlignment w:val="center"/>
              <w:rPr>
                <w:rFonts w:hint="eastAsia" w:ascii="宋体" w:hAnsi="宋体"/>
                <w:b w:val="0"/>
                <w:i w:val="0"/>
                <w:snapToGrid/>
                <w:color w:val="000000"/>
                <w:sz w:val="18"/>
                <w:szCs w:val="18"/>
                <w:u w:val="none"/>
                <w:lang w:eastAsia="zh-CN"/>
              </w:rPr>
            </w:pPr>
          </w:p>
          <w:p>
            <w:pPr>
              <w:kinsoku/>
              <w:autoSpaceDE/>
              <w:autoSpaceDN w:val="0"/>
              <w:jc w:val="left"/>
              <w:textAlignment w:val="center"/>
              <w:rPr>
                <w:rFonts w:hint="default" w:ascii="宋体" w:hAnsi="宋体"/>
                <w:b w:val="0"/>
                <w:i w:val="0"/>
                <w:snapToGrid/>
                <w:color w:val="000000"/>
                <w:sz w:val="18"/>
                <w:szCs w:val="18"/>
                <w:u w:val="none"/>
                <w:lang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both"/>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统一纳入行政处罚案件审核程序。由具体执法承办机构直接向审核机构提出（属于情节复杂或者重大违法行为的较重处罚在审核后须依规经部门负责人集体讨论决定）</w:t>
            </w:r>
            <w:r>
              <w:rPr>
                <w:rFonts w:hint="eastAsia" w:ascii="宋体" w:hAnsi="宋体"/>
                <w:b w:val="0"/>
                <w:i w:val="0"/>
                <w:snapToGrid/>
                <w:color w:val="000000"/>
                <w:sz w:val="18"/>
                <w:szCs w:val="18"/>
                <w:u w:val="none"/>
                <w:lang w:eastAsia="zh-CN"/>
              </w:rPr>
              <w:t>。</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《行政处罚法》；</w:t>
            </w:r>
          </w:p>
          <w:p>
            <w:pPr>
              <w:numPr>
                <w:ilvl w:val="0"/>
                <w:numId w:val="1"/>
              </w:numPr>
              <w:kinsoku/>
              <w:autoSpaceDE/>
              <w:autoSpaceDN w:val="0"/>
              <w:ind w:left="0" w:leftChars="0" w:firstLine="0" w:firstLineChars="0"/>
              <w:jc w:val="left"/>
              <w:textAlignment w:val="center"/>
              <w:rPr>
                <w:rFonts w:hint="default"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《公证法》、</w:t>
            </w:r>
            <w:r>
              <w:rPr>
                <w:rFonts w:hint="eastAsia" w:ascii="Times New Roman" w:hAnsi="Times New Roman"/>
                <w:sz w:val="18"/>
                <w:szCs w:val="18"/>
              </w:rPr>
              <w:t>《公证机构执业管理办法》（司法部令第101号）《公证员执业管理办法》</w:t>
            </w:r>
            <w:r>
              <w:rPr>
                <w:rFonts w:hint="eastAsia" w:ascii="Times New Roman" w:hAnsi="Times New Roman"/>
                <w:sz w:val="18"/>
                <w:szCs w:val="18"/>
                <w:lang w:val="en-US" w:eastAsia="zh-CN"/>
              </w:rPr>
              <w:t>；</w:t>
            </w:r>
          </w:p>
          <w:p>
            <w:pPr>
              <w:numPr>
                <w:ilvl w:val="0"/>
                <w:numId w:val="1"/>
              </w:numPr>
              <w:kinsoku/>
              <w:autoSpaceDE/>
              <w:autoSpaceDN w:val="0"/>
              <w:ind w:left="0" w:leftChars="0" w:firstLine="0" w:firstLineChars="0"/>
              <w:jc w:val="left"/>
              <w:textAlignment w:val="center"/>
              <w:rPr>
                <w:rFonts w:hint="default" w:ascii="宋体" w:hAnsi="宋体"/>
                <w:b w:val="0"/>
                <w:i w:val="0"/>
                <w:snapToGrid/>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《法律援助条例》（国务院令第385号）</w:t>
            </w:r>
            <w:r>
              <w:rPr>
                <w:rFonts w:hint="eastAsia" w:ascii="宋体" w:hAnsi="宋体" w:cs="宋体"/>
                <w:i w:val="0"/>
                <w:color w:val="000000"/>
                <w:kern w:val="0"/>
                <w:sz w:val="18"/>
                <w:szCs w:val="18"/>
                <w:u w:val="none"/>
                <w:lang w:val="en-US" w:eastAsia="zh-CN" w:bidi="ar"/>
              </w:rPr>
              <w:t>和</w:t>
            </w:r>
            <w:r>
              <w:rPr>
                <w:rFonts w:hint="eastAsia" w:ascii="宋体" w:hAnsi="宋体" w:eastAsia="宋体" w:cs="宋体"/>
                <w:i w:val="0"/>
                <w:color w:val="000000"/>
                <w:kern w:val="0"/>
                <w:sz w:val="20"/>
                <w:szCs w:val="20"/>
                <w:u w:val="none"/>
                <w:lang w:val="en-US" w:eastAsia="zh-CN" w:bidi="ar"/>
              </w:rPr>
              <w:t>《山西省法律援助条例》</w:t>
            </w:r>
            <w:r>
              <w:rPr>
                <w:rFonts w:hint="eastAsia" w:ascii="宋体" w:hAnsi="宋体"/>
                <w:b w:val="0"/>
                <w:i w:val="0"/>
                <w:snapToGrid/>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0"/>
                <w:szCs w:val="20"/>
                <w:u w:val="none"/>
                <w:lang w:eastAsia="zh-CN"/>
              </w:rPr>
              <w:t>立法和行政执法协调监督科</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1、重大执法决定调查(审查）终结报告及处理意见；2、重大执法决定书草拟稿；3、重大执法决定相关法律依据和证据资料；4、经听证或评估的，应当提交听证笔录或评估报告；5、其他需要提交的材料</w:t>
            </w:r>
            <w:r>
              <w:rPr>
                <w:rFonts w:hint="eastAsia" w:ascii="宋体" w:hAnsi="宋体"/>
                <w:b w:val="0"/>
                <w:i w:val="0"/>
                <w:snapToGrid/>
                <w:color w:val="000000"/>
                <w:sz w:val="18"/>
                <w:szCs w:val="18"/>
                <w:u w:val="none"/>
                <w:lang w:eastAsia="zh-CN"/>
              </w:rPr>
              <w:t>。</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1、行政执法主体资格是否合法、是否超越法定权限；2、行政执法人员是否具备执法资格、有无执法证件；3、事实是否清楚，证据是否合法充分；4、适用法律、法规、规章是否准确，行政裁量权行使是否适当；5、是否符合法定程序；6、行政执法文书的制作是否完备、规范；7、有无“以罚代刑”情形；8、其他应当审核的内容</w:t>
            </w:r>
            <w:r>
              <w:rPr>
                <w:rFonts w:hint="eastAsia" w:ascii="宋体" w:hAnsi="宋体"/>
                <w:b w:val="0"/>
                <w:i w:val="0"/>
                <w:snapToGrid/>
                <w:color w:val="000000"/>
                <w:sz w:val="18"/>
                <w:szCs w:val="18"/>
                <w:u w:val="none"/>
                <w:lang w:eastAsia="zh-CN"/>
              </w:rPr>
              <w:t>。</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10个工作</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日；特别</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重大、复</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杂的案</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件，经分</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管负责人</w:t>
            </w:r>
          </w:p>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批准，可</w:t>
            </w:r>
          </w:p>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18"/>
                <w:szCs w:val="18"/>
                <w:u w:val="none"/>
                <w:lang w:eastAsia="zh-CN"/>
              </w:rPr>
              <w:t>以延长5个工作日</w:t>
            </w:r>
            <w:r>
              <w:rPr>
                <w:rFonts w:hint="eastAsia" w:ascii="宋体" w:hAnsi="宋体"/>
                <w:b w:val="0"/>
                <w:i w:val="0"/>
                <w:snapToGrid/>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11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66189"/>
    <w:multiLevelType w:val="singleLevel"/>
    <w:tmpl w:val="93F6618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16302"/>
    <w:rsid w:val="3441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2020-08-23T05:43:00Z</dcterms:created>
  <dc:creator>北极熊</dc:creator>
  <cp:lastModifiedBy>北极熊</cp:lastModifiedBy>
  <dcterms:modified xsi:type="dcterms:W3CDTF">2020-08-23T05:43:37Z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