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Fonts w:ascii="宋体" w:hAnsi="宋体"/>
          <w:b/>
          <w:sz w:val="32"/>
          <w:szCs w:val="32"/>
        </w:rPr>
      </w:pPr>
    </w:p>
    <w:p>
      <w:pPr>
        <w:spacing w:line="580" w:lineRule="exact"/>
        <w:jc w:val="center"/>
        <w:rPr>
          <w:rStyle w:val="6"/>
          <w:rFonts w:ascii="宋体" w:hAnsi="宋体"/>
          <w:b/>
          <w:sz w:val="44"/>
          <w:szCs w:val="44"/>
        </w:rPr>
      </w:pPr>
      <w:r>
        <w:rPr>
          <w:rStyle w:val="6"/>
          <w:rFonts w:hint="eastAsia" w:ascii="宋体" w:hAnsi="宋体"/>
          <w:b/>
          <w:color w:val="000000"/>
          <w:sz w:val="44"/>
          <w:szCs w:val="44"/>
        </w:rPr>
        <w:t>运城经济技术开发区管理委员会建设事业部</w:t>
      </w:r>
      <w:r>
        <w:rPr>
          <w:rStyle w:val="6"/>
          <w:rFonts w:ascii="宋体" w:hAnsi="宋体"/>
          <w:b/>
          <w:sz w:val="44"/>
          <w:szCs w:val="44"/>
        </w:rPr>
        <w:t>2021年预算公开情况说明</w:t>
      </w:r>
    </w:p>
    <w:p>
      <w:pPr>
        <w:spacing w:line="580" w:lineRule="exact"/>
        <w:rPr>
          <w:rStyle w:val="6"/>
          <w:rFonts w:ascii="仿宋_GB2312" w:hAnsi="宋体" w:eastAsia="仿宋_GB2312"/>
          <w:sz w:val="32"/>
          <w:szCs w:val="32"/>
        </w:rPr>
      </w:pPr>
    </w:p>
    <w:p>
      <w:pPr>
        <w:spacing w:line="580" w:lineRule="exact"/>
        <w:ind w:firstLine="640" w:firstLineChars="200"/>
        <w:rPr>
          <w:rStyle w:val="6"/>
          <w:rFonts w:ascii="黑体" w:hAnsi="黑体" w:eastAsia="黑体"/>
          <w:bCs/>
          <w:sz w:val="32"/>
          <w:szCs w:val="32"/>
        </w:rPr>
      </w:pPr>
      <w:r>
        <w:rPr>
          <w:rStyle w:val="6"/>
          <w:rFonts w:ascii="黑体" w:hAnsi="黑体" w:eastAsia="黑体"/>
          <w:bCs/>
          <w:sz w:val="32"/>
          <w:szCs w:val="32"/>
        </w:rPr>
        <w:t>一、部门主要职责</w:t>
      </w:r>
    </w:p>
    <w:p>
      <w:pPr>
        <w:spacing w:line="580" w:lineRule="exact"/>
        <w:rPr>
          <w:rStyle w:val="6"/>
          <w:rFonts w:ascii="仿宋" w:hAnsi="仿宋" w:eastAsia="仿宋"/>
          <w:color w:val="000000"/>
          <w:sz w:val="32"/>
          <w:szCs w:val="32"/>
        </w:rPr>
      </w:pPr>
      <w:r>
        <w:rPr>
          <w:rStyle w:val="6"/>
          <w:rFonts w:ascii="仿宋_GB2312" w:hAnsi="宋体" w:eastAsia="仿宋_GB2312"/>
          <w:color w:val="FF0000"/>
          <w:sz w:val="32"/>
          <w:szCs w:val="32"/>
        </w:rPr>
        <w:t xml:space="preserve">    </w:t>
      </w:r>
      <w:r>
        <w:rPr>
          <w:rStyle w:val="6"/>
          <w:rFonts w:ascii="仿宋_GB2312" w:hAnsi="宋体" w:eastAsia="仿宋_GB2312"/>
          <w:color w:val="000000"/>
          <w:sz w:val="32"/>
          <w:szCs w:val="32"/>
        </w:rPr>
        <w:t>负责开发区建设、房产、园林绿化、市政公用、水务、市容市貌的监督管理工作；负责开发区建筑工程施工管理和安全管理；负责各项基础建设工程的配套建设管理工作；负责房地产项目的监督管理；负责物业服务市场的监督管理；负责集中供热、城市供水、城镇燃气行业的监督管理；负责排水排污及污水处理厂的监督管理；负责园区建设、市政建设和住房保障工作；</w:t>
      </w:r>
      <w:r>
        <w:rPr>
          <w:rStyle w:val="6"/>
          <w:rFonts w:hint="eastAsia" w:ascii="仿宋_GB2312" w:hAnsi="宋体" w:eastAsia="仿宋_GB2312"/>
          <w:color w:val="000000"/>
          <w:sz w:val="32"/>
          <w:szCs w:val="32"/>
        </w:rPr>
        <w:t>负责开发区内禹都市场、豪德贸易广场等11个专业市场的管理服务工作；</w:t>
      </w:r>
      <w:r>
        <w:rPr>
          <w:rStyle w:val="6"/>
          <w:rFonts w:ascii="仿宋_GB2312" w:hAnsi="宋体" w:eastAsia="仿宋_GB2312"/>
          <w:color w:val="000000"/>
          <w:sz w:val="32"/>
          <w:szCs w:val="32"/>
        </w:rPr>
        <w:t>负责市容市貌管理工作；</w:t>
      </w:r>
      <w:r>
        <w:rPr>
          <w:rFonts w:hint="eastAsia" w:ascii="仿宋_GB2312" w:eastAsia="仿宋_GB2312"/>
          <w:sz w:val="32"/>
          <w:szCs w:val="32"/>
        </w:rPr>
        <w:t>负责协调文化产业园区、公墓管理工作；</w:t>
      </w:r>
      <w:r>
        <w:rPr>
          <w:rStyle w:val="6"/>
          <w:rFonts w:ascii="仿宋_GB2312" w:hAnsi="宋体" w:eastAsia="仿宋_GB2312"/>
          <w:color w:val="000000"/>
          <w:sz w:val="32"/>
          <w:szCs w:val="32"/>
        </w:rPr>
        <w:t>承办党工委、管委会交办的其他事项。</w:t>
      </w:r>
    </w:p>
    <w:p>
      <w:pPr>
        <w:spacing w:line="580" w:lineRule="exact"/>
        <w:ind w:firstLine="645"/>
        <w:rPr>
          <w:rStyle w:val="6"/>
          <w:rFonts w:ascii="黑体" w:hAnsi="黑体" w:eastAsia="黑体"/>
          <w:bCs/>
          <w:sz w:val="32"/>
          <w:szCs w:val="32"/>
        </w:rPr>
      </w:pPr>
      <w:r>
        <w:rPr>
          <w:rStyle w:val="6"/>
          <w:rFonts w:ascii="黑体" w:hAnsi="黑体" w:eastAsia="黑体"/>
          <w:bCs/>
          <w:sz w:val="32"/>
          <w:szCs w:val="32"/>
        </w:rPr>
        <w:t>二、部门预算单位机构设置情况</w:t>
      </w:r>
    </w:p>
    <w:p>
      <w:pPr>
        <w:spacing w:line="580" w:lineRule="exact"/>
        <w:ind w:firstLine="645"/>
        <w:rPr>
          <w:rStyle w:val="6"/>
          <w:rFonts w:ascii="仿宋_GB2312" w:hAnsi="仿宋_GB2312" w:eastAsia="仿宋_GB2312"/>
          <w:sz w:val="32"/>
          <w:szCs w:val="32"/>
        </w:rPr>
      </w:pPr>
      <w:r>
        <w:rPr>
          <w:rStyle w:val="6"/>
          <w:rFonts w:hint="eastAsia" w:ascii="仿宋_GB2312" w:hAnsi="仿宋_GB2312" w:eastAsia="仿宋_GB2312"/>
          <w:sz w:val="32"/>
          <w:szCs w:val="32"/>
        </w:rPr>
        <w:t>在职</w:t>
      </w:r>
      <w:r>
        <w:rPr>
          <w:rStyle w:val="6"/>
          <w:rFonts w:ascii="仿宋_GB2312" w:hAnsi="仿宋_GB2312" w:eastAsia="仿宋_GB2312"/>
          <w:sz w:val="32"/>
          <w:szCs w:val="32"/>
        </w:rPr>
        <w:t>人数</w:t>
      </w:r>
      <w:r>
        <w:rPr>
          <w:rStyle w:val="6"/>
          <w:rFonts w:ascii="仿宋_GB2312" w:hAnsi="仿宋_GB2312" w:eastAsia="仿宋_GB2312"/>
          <w:color w:val="000000"/>
          <w:sz w:val="32"/>
          <w:szCs w:val="32"/>
        </w:rPr>
        <w:t>14</w:t>
      </w:r>
      <w:r>
        <w:rPr>
          <w:rStyle w:val="6"/>
          <w:rFonts w:hint="eastAsia" w:ascii="仿宋_GB2312" w:hAnsi="仿宋_GB2312" w:eastAsia="仿宋_GB2312"/>
          <w:color w:val="000000"/>
          <w:sz w:val="32"/>
          <w:szCs w:val="32"/>
        </w:rPr>
        <w:t>1</w:t>
      </w:r>
      <w:r>
        <w:rPr>
          <w:rStyle w:val="6"/>
          <w:rFonts w:ascii="仿宋_GB2312" w:hAnsi="仿宋_GB2312" w:eastAsia="仿宋_GB2312"/>
          <w:sz w:val="32"/>
          <w:szCs w:val="32"/>
        </w:rPr>
        <w:t>人，退休人员</w:t>
      </w:r>
      <w:r>
        <w:rPr>
          <w:rStyle w:val="6"/>
          <w:rFonts w:hint="eastAsia" w:ascii="仿宋_GB2312" w:hAnsi="仿宋_GB2312" w:eastAsia="仿宋_GB2312"/>
          <w:sz w:val="32"/>
          <w:szCs w:val="32"/>
        </w:rPr>
        <w:t>7</w:t>
      </w:r>
      <w:r>
        <w:rPr>
          <w:rStyle w:val="6"/>
          <w:rFonts w:ascii="仿宋_GB2312" w:hAnsi="仿宋_GB2312" w:eastAsia="仿宋_GB2312"/>
          <w:sz w:val="32"/>
          <w:szCs w:val="32"/>
        </w:rPr>
        <w:t>人，内退人员</w:t>
      </w:r>
      <w:r>
        <w:rPr>
          <w:rStyle w:val="6"/>
          <w:rFonts w:hint="eastAsia" w:ascii="仿宋_GB2312" w:hAnsi="仿宋_GB2312" w:eastAsia="仿宋_GB2312"/>
          <w:sz w:val="32"/>
          <w:szCs w:val="32"/>
        </w:rPr>
        <w:t>27</w:t>
      </w:r>
      <w:r>
        <w:rPr>
          <w:rStyle w:val="6"/>
          <w:rFonts w:ascii="仿宋_GB2312" w:hAnsi="仿宋_GB2312" w:eastAsia="仿宋_GB2312"/>
          <w:sz w:val="32"/>
          <w:szCs w:val="32"/>
        </w:rPr>
        <w:t>人，离岗人员5人。内设科室</w:t>
      </w:r>
      <w:r>
        <w:rPr>
          <w:rStyle w:val="6"/>
          <w:rFonts w:hint="eastAsia" w:ascii="仿宋_GB2312" w:hAnsi="仿宋_GB2312" w:eastAsia="仿宋_GB2312"/>
          <w:color w:val="000000"/>
          <w:sz w:val="32"/>
          <w:szCs w:val="32"/>
        </w:rPr>
        <w:t>8</w:t>
      </w:r>
      <w:r>
        <w:rPr>
          <w:rStyle w:val="6"/>
          <w:rFonts w:ascii="仿宋_GB2312" w:hAnsi="仿宋_GB2312" w:eastAsia="仿宋_GB2312"/>
          <w:color w:val="000000"/>
          <w:sz w:val="32"/>
          <w:szCs w:val="32"/>
        </w:rPr>
        <w:t>个</w:t>
      </w:r>
      <w:r>
        <w:rPr>
          <w:rStyle w:val="6"/>
          <w:rFonts w:ascii="仿宋_GB2312" w:hAnsi="仿宋_GB2312" w:eastAsia="仿宋_GB2312"/>
          <w:sz w:val="32"/>
          <w:szCs w:val="32"/>
        </w:rPr>
        <w:t>，即</w:t>
      </w:r>
      <w:r>
        <w:rPr>
          <w:rStyle w:val="6"/>
          <w:rFonts w:ascii="仿宋_GB2312" w:hAnsi="仿宋_GB2312" w:eastAsia="仿宋_GB2312"/>
          <w:color w:val="000000"/>
          <w:sz w:val="32"/>
          <w:szCs w:val="32"/>
        </w:rPr>
        <w:t>综合科、建筑工程管理科、公用事业服务中心、城市管理监察大队、住房保障中心、园林环卫管理中心、水务中心</w:t>
      </w:r>
      <w:r>
        <w:rPr>
          <w:rStyle w:val="6"/>
          <w:rFonts w:hint="eastAsia" w:ascii="仿宋_GB2312" w:hAnsi="仿宋_GB2312" w:eastAsia="仿宋_GB2312"/>
          <w:color w:val="000000"/>
          <w:sz w:val="32"/>
          <w:szCs w:val="32"/>
        </w:rPr>
        <w:t>、市场管理中心</w:t>
      </w:r>
      <w:r>
        <w:rPr>
          <w:rStyle w:val="6"/>
          <w:rFonts w:ascii="仿宋_GB2312" w:hAnsi="仿宋_GB2312" w:eastAsia="仿宋_GB2312"/>
          <w:sz w:val="32"/>
          <w:szCs w:val="32"/>
        </w:rPr>
        <w:t>。</w:t>
      </w:r>
    </w:p>
    <w:p>
      <w:pPr>
        <w:spacing w:line="580" w:lineRule="exact"/>
        <w:ind w:firstLine="645"/>
        <w:rPr>
          <w:rStyle w:val="6"/>
          <w:rFonts w:ascii="黑体" w:hAnsi="黑体" w:eastAsia="黑体"/>
          <w:bCs/>
          <w:sz w:val="32"/>
          <w:szCs w:val="32"/>
        </w:rPr>
      </w:pPr>
      <w:r>
        <w:rPr>
          <w:rStyle w:val="6"/>
          <w:rFonts w:ascii="黑体" w:hAnsi="黑体" w:eastAsia="黑体"/>
          <w:bCs/>
          <w:sz w:val="32"/>
          <w:szCs w:val="32"/>
        </w:rPr>
        <w:t>三、部门预算收支情况说明</w:t>
      </w:r>
    </w:p>
    <w:p>
      <w:pPr>
        <w:spacing w:line="580" w:lineRule="exact"/>
        <w:ind w:firstLine="645"/>
        <w:rPr>
          <w:rStyle w:val="6"/>
          <w:rFonts w:ascii="楷体_GB2312" w:hAnsi="楷体_GB2312" w:eastAsia="楷体_GB2312"/>
          <w:sz w:val="32"/>
          <w:szCs w:val="32"/>
        </w:rPr>
      </w:pPr>
      <w:r>
        <w:rPr>
          <w:rStyle w:val="6"/>
          <w:rFonts w:ascii="楷体_GB2312" w:hAnsi="楷体_GB2312" w:eastAsia="楷体_GB2312"/>
          <w:sz w:val="32"/>
          <w:szCs w:val="32"/>
        </w:rPr>
        <w:t>1、2021年预算收入、支出比2020年增减情况</w:t>
      </w:r>
    </w:p>
    <w:p>
      <w:pPr>
        <w:spacing w:line="580" w:lineRule="exact"/>
        <w:ind w:firstLine="645"/>
        <w:rPr>
          <w:rStyle w:val="6"/>
          <w:rFonts w:ascii="仿宋_GB2312" w:hAnsi="仿宋_GB2312" w:eastAsia="仿宋_GB2312"/>
          <w:color w:val="000000"/>
          <w:sz w:val="32"/>
          <w:szCs w:val="32"/>
        </w:rPr>
      </w:pPr>
      <w:r>
        <w:rPr>
          <w:rStyle w:val="6"/>
          <w:rFonts w:ascii="仿宋_GB2312" w:hAnsi="仿宋_GB2312" w:eastAsia="仿宋_GB2312"/>
          <w:color w:val="000000"/>
          <w:sz w:val="32"/>
          <w:szCs w:val="32"/>
        </w:rPr>
        <w:t>2021年预算收入39050.98万元，其中：一般公共预算收入11736.36万元，政府性基金收入27314.62万元。2020年收入26706.29万元，其中</w:t>
      </w:r>
      <w:r>
        <w:rPr>
          <w:rStyle w:val="6"/>
          <w:rFonts w:ascii="仿宋_GB2312" w:hAnsi="仿宋_GB2312" w:eastAsia="仿宋_GB2312"/>
          <w:color w:val="000000"/>
          <w:sz w:val="32"/>
          <w:szCs w:val="32"/>
          <w:lang w:val="en-US"/>
        </w:rPr>
        <w:t>：</w:t>
      </w:r>
      <w:r>
        <w:rPr>
          <w:rStyle w:val="6"/>
          <w:rFonts w:ascii="仿宋_GB2312" w:hAnsi="仿宋_GB2312" w:eastAsia="仿宋_GB2312"/>
          <w:color w:val="000000"/>
          <w:sz w:val="32"/>
          <w:szCs w:val="32"/>
        </w:rPr>
        <w:t>一般公共预算收入10121.58万元，政府性基金收入16584.71万元。2021年预算收入与2020年相比增加，增加的主要原因是政府性基金收入增加10729.91万元。</w:t>
      </w:r>
    </w:p>
    <w:p>
      <w:pPr>
        <w:spacing w:line="580" w:lineRule="exact"/>
        <w:ind w:firstLine="645"/>
        <w:rPr>
          <w:rStyle w:val="6"/>
          <w:rFonts w:ascii="仿宋_GB2312" w:hAnsi="仿宋_GB2312" w:eastAsia="仿宋_GB2312"/>
          <w:color w:val="000000"/>
          <w:sz w:val="32"/>
          <w:szCs w:val="32"/>
        </w:rPr>
      </w:pPr>
      <w:r>
        <w:rPr>
          <w:rStyle w:val="6"/>
          <w:rFonts w:ascii="仿宋_GB2312" w:hAnsi="仿宋_GB2312" w:eastAsia="仿宋_GB2312"/>
          <w:color w:val="000000"/>
          <w:sz w:val="32"/>
          <w:szCs w:val="32"/>
        </w:rPr>
        <w:t>2021年预算支出39050.98万元，其中：一般公共预算支出11736.36万元，政府性基金支出27314.62万元。2020年支出26706.29万元，其中</w:t>
      </w:r>
      <w:r>
        <w:rPr>
          <w:rStyle w:val="6"/>
          <w:rFonts w:ascii="仿宋_GB2312" w:hAnsi="仿宋_GB2312" w:eastAsia="仿宋_GB2312"/>
          <w:color w:val="000000"/>
          <w:sz w:val="32"/>
          <w:szCs w:val="32"/>
          <w:lang w:val="en-US"/>
        </w:rPr>
        <w:t>：</w:t>
      </w:r>
      <w:r>
        <w:rPr>
          <w:rStyle w:val="6"/>
          <w:rFonts w:ascii="仿宋_GB2312" w:hAnsi="仿宋_GB2312" w:eastAsia="仿宋_GB2312"/>
          <w:color w:val="000000"/>
          <w:sz w:val="32"/>
          <w:szCs w:val="32"/>
        </w:rPr>
        <w:t>一般公共预算支出10121.58万元，政府性基金支出16584.71万元。2021年预算支出与2020年相比增加，增加的主要原因是政府性基金安排的开发区建设有限公司支付的贷款本金及利息。</w:t>
      </w:r>
    </w:p>
    <w:p>
      <w:pPr>
        <w:spacing w:line="580" w:lineRule="exact"/>
        <w:ind w:firstLine="645"/>
        <w:rPr>
          <w:rStyle w:val="6"/>
          <w:rFonts w:ascii="楷体_GB2312" w:hAnsi="楷体_GB2312" w:eastAsia="楷体_GB2312"/>
          <w:sz w:val="32"/>
          <w:szCs w:val="32"/>
        </w:rPr>
      </w:pPr>
      <w:r>
        <w:rPr>
          <w:rStyle w:val="6"/>
          <w:rFonts w:ascii="楷体_GB2312" w:hAnsi="楷体_GB2312" w:eastAsia="楷体_GB2312"/>
          <w:sz w:val="32"/>
          <w:szCs w:val="32"/>
        </w:rPr>
        <w:t>2、“三公经费”预算</w:t>
      </w:r>
    </w:p>
    <w:p>
      <w:pPr>
        <w:spacing w:line="580" w:lineRule="exact"/>
        <w:ind w:firstLine="645"/>
        <w:rPr>
          <w:rStyle w:val="6"/>
          <w:rFonts w:hint="default" w:ascii="仿宋_GB2312" w:hAnsi="仿宋_GB2312" w:eastAsia="仿宋_GB2312"/>
          <w:sz w:val="32"/>
          <w:szCs w:val="32"/>
          <w:lang w:val="en-US" w:eastAsia="zh-CN"/>
        </w:rPr>
      </w:pPr>
      <w:r>
        <w:rPr>
          <w:rStyle w:val="6"/>
          <w:rFonts w:ascii="仿宋_GB2312" w:hAnsi="仿宋_GB2312" w:eastAsia="仿宋_GB2312"/>
          <w:sz w:val="32"/>
          <w:szCs w:val="32"/>
        </w:rPr>
        <w:t>2021年度“三公经费”预算3万元系公务用车运行维护费，与2020年预算相同。</w:t>
      </w:r>
      <w:r>
        <w:rPr>
          <w:rStyle w:val="6"/>
          <w:rFonts w:hint="eastAsia" w:ascii="仿宋_GB2312" w:hAnsi="仿宋_GB2312" w:eastAsia="仿宋_GB2312"/>
          <w:sz w:val="32"/>
          <w:szCs w:val="32"/>
          <w:lang w:eastAsia="zh-CN"/>
        </w:rPr>
        <w:t>其中：因公出国（境）费用</w:t>
      </w:r>
      <w:r>
        <w:rPr>
          <w:rStyle w:val="6"/>
          <w:rFonts w:hint="eastAsia" w:ascii="仿宋_GB2312" w:hAnsi="仿宋_GB2312" w:eastAsia="仿宋_GB2312"/>
          <w:sz w:val="32"/>
          <w:szCs w:val="32"/>
          <w:lang w:val="en-US" w:eastAsia="zh-CN"/>
        </w:rPr>
        <w:t>0万元，较上年预算持平；公务接待费0万元；较上年预算持平；公务用车运行维护费3万元，较上年预算持平；公务用车购置费0万元，较上年预算持平。</w:t>
      </w:r>
      <w:bookmarkStart w:id="0" w:name="_GoBack"/>
      <w:bookmarkEnd w:id="0"/>
    </w:p>
    <w:p>
      <w:pPr>
        <w:spacing w:line="580" w:lineRule="exact"/>
        <w:ind w:firstLine="630"/>
        <w:rPr>
          <w:rStyle w:val="6"/>
          <w:rFonts w:ascii="楷体_GB2312" w:hAnsi="楷体_GB2312" w:eastAsia="楷体_GB2312"/>
          <w:sz w:val="32"/>
          <w:szCs w:val="32"/>
        </w:rPr>
      </w:pPr>
      <w:r>
        <w:rPr>
          <w:rStyle w:val="6"/>
          <w:rFonts w:ascii="楷体_GB2312" w:hAnsi="楷体_GB2312" w:eastAsia="楷体_GB2312"/>
          <w:sz w:val="32"/>
          <w:szCs w:val="32"/>
        </w:rPr>
        <w:t>3、机关运行经费情况</w:t>
      </w:r>
    </w:p>
    <w:p>
      <w:pPr>
        <w:spacing w:line="580" w:lineRule="exact"/>
        <w:ind w:firstLine="645"/>
        <w:rPr>
          <w:rStyle w:val="6"/>
          <w:rFonts w:ascii="仿宋_GB2312" w:hAnsi="仿宋_GB2312" w:eastAsia="仿宋_GB2312"/>
          <w:color w:val="FF0000"/>
          <w:sz w:val="32"/>
          <w:szCs w:val="32"/>
        </w:rPr>
      </w:pPr>
      <w:r>
        <w:rPr>
          <w:rStyle w:val="6"/>
          <w:rFonts w:ascii="仿宋_GB2312" w:hAnsi="仿宋_GB2312" w:eastAsia="仿宋_GB2312"/>
          <w:sz w:val="32"/>
          <w:szCs w:val="32"/>
        </w:rPr>
        <w:t>2021年度机关运行经费财政拨款预算76.44万元，较2020年预算86.82</w:t>
      </w:r>
      <w:r>
        <w:rPr>
          <w:rStyle w:val="6"/>
          <w:rFonts w:ascii="仿宋_GB2312" w:hAnsi="仿宋_GB2312" w:eastAsia="仿宋_GB2312"/>
          <w:color w:val="000000"/>
          <w:sz w:val="32"/>
          <w:szCs w:val="32"/>
        </w:rPr>
        <w:t>万元减少，减少了10.38万元</w:t>
      </w:r>
      <w:r>
        <w:rPr>
          <w:rStyle w:val="6"/>
          <w:rFonts w:ascii="仿宋_GB2312" w:hAnsi="仿宋_GB2312" w:eastAsia="仿宋_GB2312"/>
          <w:sz w:val="32"/>
          <w:szCs w:val="32"/>
        </w:rPr>
        <w:t>，</w:t>
      </w:r>
      <w:r>
        <w:rPr>
          <w:rStyle w:val="6"/>
          <w:rFonts w:ascii="仿宋_GB2312" w:hAnsi="仿宋_GB2312" w:eastAsia="仿宋_GB2312"/>
          <w:color w:val="000000"/>
          <w:sz w:val="32"/>
          <w:szCs w:val="32"/>
        </w:rPr>
        <w:t>减少的原因主要是2021年公用经费标准降低。</w:t>
      </w:r>
    </w:p>
    <w:p>
      <w:pPr>
        <w:spacing w:line="580" w:lineRule="exact"/>
        <w:ind w:firstLine="630"/>
        <w:rPr>
          <w:rStyle w:val="6"/>
          <w:rFonts w:ascii="楷体_GB2312" w:hAnsi="楷体_GB2312" w:eastAsia="楷体_GB2312"/>
          <w:sz w:val="32"/>
          <w:szCs w:val="32"/>
        </w:rPr>
      </w:pPr>
      <w:r>
        <w:rPr>
          <w:rStyle w:val="6"/>
          <w:rFonts w:ascii="楷体_GB2312" w:hAnsi="楷体_GB2312" w:eastAsia="楷体_GB2312"/>
          <w:sz w:val="32"/>
          <w:szCs w:val="32"/>
        </w:rPr>
        <w:t>4、政府采购执行情况</w:t>
      </w:r>
    </w:p>
    <w:p>
      <w:pPr>
        <w:spacing w:line="580" w:lineRule="exact"/>
        <w:ind w:firstLine="630"/>
        <w:rPr>
          <w:rStyle w:val="6"/>
          <w:rFonts w:ascii="仿宋_GB2312" w:hAnsi="仿宋_GB2312" w:eastAsia="仿宋_GB2312"/>
          <w:sz w:val="32"/>
          <w:szCs w:val="32"/>
        </w:rPr>
      </w:pPr>
      <w:r>
        <w:rPr>
          <w:rStyle w:val="6"/>
          <w:rFonts w:ascii="仿宋_GB2312" w:hAnsi="仿宋_GB2312" w:eastAsia="仿宋_GB2312"/>
          <w:sz w:val="32"/>
          <w:szCs w:val="32"/>
        </w:rPr>
        <w:t>2021年本部门政府采购预算总额409.12万元。</w:t>
      </w:r>
    </w:p>
    <w:p>
      <w:pPr>
        <w:spacing w:line="580" w:lineRule="exact"/>
        <w:ind w:firstLine="630"/>
        <w:rPr>
          <w:rStyle w:val="6"/>
          <w:rFonts w:ascii="楷体_GB2312" w:hAnsi="楷体_GB2312" w:eastAsia="楷体_GB2312"/>
          <w:sz w:val="32"/>
          <w:szCs w:val="32"/>
        </w:rPr>
      </w:pPr>
      <w:r>
        <w:rPr>
          <w:rStyle w:val="6"/>
          <w:rFonts w:ascii="楷体_GB2312" w:hAnsi="楷体_GB2312" w:eastAsia="楷体_GB2312"/>
          <w:sz w:val="32"/>
          <w:szCs w:val="32"/>
        </w:rPr>
        <w:t>5、国有资产占用情况</w:t>
      </w:r>
    </w:p>
    <w:p>
      <w:pPr>
        <w:shd w:val="clear" w:color="auto" w:fill="FFFFFF"/>
        <w:spacing w:line="580" w:lineRule="exact"/>
        <w:ind w:firstLine="640"/>
        <w:jc w:val="left"/>
        <w:rPr>
          <w:rStyle w:val="6"/>
          <w:rFonts w:ascii="仿宋_GB2312" w:hAnsi="仿宋_GB2312" w:eastAsia="仿宋_GB2312"/>
          <w:sz w:val="32"/>
          <w:szCs w:val="32"/>
        </w:rPr>
      </w:pPr>
      <w:r>
        <w:rPr>
          <w:rStyle w:val="6"/>
          <w:rFonts w:ascii="仿宋_GB2312" w:hAnsi="仿宋_GB2312" w:eastAsia="仿宋_GB2312"/>
          <w:sz w:val="32"/>
          <w:szCs w:val="32"/>
        </w:rPr>
        <w:t>本部门共有车辆63辆，其中</w:t>
      </w:r>
      <w:r>
        <w:rPr>
          <w:rStyle w:val="6"/>
          <w:rFonts w:ascii="仿宋_GB2312" w:hAnsi="仿宋_GB2312" w:eastAsia="仿宋_GB2312"/>
          <w:sz w:val="32"/>
          <w:szCs w:val="32"/>
          <w:lang w:val="en-US"/>
        </w:rPr>
        <w:t>：</w:t>
      </w:r>
      <w:r>
        <w:rPr>
          <w:rStyle w:val="6"/>
          <w:rFonts w:ascii="仿宋_GB2312" w:hAnsi="仿宋_GB2312" w:eastAsia="仿宋_GB2312"/>
          <w:sz w:val="32"/>
          <w:szCs w:val="32"/>
        </w:rPr>
        <w:t>领导公务用车3辆，特种作业车辆60辆。</w:t>
      </w:r>
    </w:p>
    <w:p>
      <w:pPr>
        <w:spacing w:line="580" w:lineRule="exact"/>
        <w:ind w:firstLine="630"/>
        <w:rPr>
          <w:rStyle w:val="6"/>
          <w:rFonts w:ascii="楷体_GB2312" w:hAnsi="楷体_GB2312" w:eastAsia="楷体_GB2312"/>
          <w:sz w:val="32"/>
          <w:szCs w:val="32"/>
        </w:rPr>
      </w:pPr>
      <w:r>
        <w:rPr>
          <w:rStyle w:val="6"/>
          <w:rFonts w:ascii="楷体_GB2312" w:hAnsi="楷体_GB2312" w:eastAsia="楷体_GB2312"/>
          <w:sz w:val="32"/>
          <w:szCs w:val="32"/>
        </w:rPr>
        <w:t>6、项目支出绩效目标情况</w:t>
      </w:r>
    </w:p>
    <w:p>
      <w:pPr>
        <w:spacing w:line="560" w:lineRule="exact"/>
        <w:ind w:firstLine="630"/>
        <w:textAlignment w:val="auto"/>
        <w:rPr>
          <w:rStyle w:val="6"/>
          <w:rFonts w:ascii="仿宋" w:hAnsi="仿宋" w:eastAsia="仿宋"/>
          <w:sz w:val="32"/>
          <w:szCs w:val="32"/>
        </w:rPr>
      </w:pPr>
      <w:r>
        <w:rPr>
          <w:rStyle w:val="6"/>
          <w:rFonts w:ascii="仿宋_GB2312" w:hAnsi="仿宋_GB2312" w:eastAsia="仿宋_GB2312"/>
          <w:sz w:val="32"/>
          <w:szCs w:val="32"/>
        </w:rPr>
        <w:t>2020年度本部门共180个项目设定绩效目标，共</w:t>
      </w:r>
      <w:r>
        <w:rPr>
          <w:rStyle w:val="6"/>
          <w:rFonts w:ascii="仿宋_GB2312" w:hAnsi="仿宋_GB2312" w:eastAsia="仿宋_GB2312"/>
          <w:color w:val="000000"/>
          <w:sz w:val="32"/>
          <w:szCs w:val="32"/>
        </w:rPr>
        <w:t>37049.62</w:t>
      </w:r>
      <w:r>
        <w:rPr>
          <w:rStyle w:val="6"/>
          <w:rFonts w:ascii="仿宋_GB2312" w:hAnsi="仿宋_GB2312" w:eastAsia="仿宋_GB2312"/>
          <w:sz w:val="32"/>
          <w:szCs w:val="32"/>
        </w:rPr>
        <w:t>万元。其中，政府性基金</w:t>
      </w:r>
      <w:r>
        <w:rPr>
          <w:rStyle w:val="6"/>
          <w:rFonts w:ascii="仿宋_GB2312" w:hAnsi="仿宋_GB2312" w:eastAsia="仿宋_GB2312"/>
          <w:color w:val="000000"/>
          <w:sz w:val="32"/>
          <w:szCs w:val="32"/>
        </w:rPr>
        <w:t>27314.62</w:t>
      </w:r>
      <w:r>
        <w:rPr>
          <w:rStyle w:val="6"/>
          <w:rFonts w:ascii="仿宋_GB2312" w:hAnsi="仿宋_GB2312" w:eastAsia="仿宋_GB2312"/>
          <w:sz w:val="32"/>
          <w:szCs w:val="32"/>
        </w:rPr>
        <w:t>万元，一般公共预算9735万元。</w:t>
      </w:r>
    </w:p>
    <w:p>
      <w:pPr>
        <w:spacing w:line="560" w:lineRule="exact"/>
        <w:ind w:firstLine="627" w:firstLineChars="196"/>
        <w:textAlignment w:val="auto"/>
        <w:rPr>
          <w:rStyle w:val="6"/>
          <w:rFonts w:ascii="黑体" w:hAnsi="黑体" w:eastAsia="黑体"/>
          <w:bCs/>
          <w:sz w:val="32"/>
          <w:szCs w:val="32"/>
        </w:rPr>
      </w:pPr>
      <w:r>
        <w:rPr>
          <w:rStyle w:val="6"/>
          <w:rFonts w:ascii="黑体" w:hAnsi="黑体" w:eastAsia="黑体"/>
          <w:bCs/>
          <w:sz w:val="32"/>
          <w:szCs w:val="32"/>
        </w:rPr>
        <w:t>四、名词解释</w:t>
      </w:r>
    </w:p>
    <w:p>
      <w:pPr>
        <w:spacing w:line="560" w:lineRule="exact"/>
        <w:ind w:firstLine="630"/>
        <w:textAlignment w:val="auto"/>
        <w:rPr>
          <w:rStyle w:val="6"/>
          <w:rFonts w:ascii="仿宋_GB2312" w:hAnsi="仿宋_GB2312" w:eastAsia="仿宋_GB2312"/>
          <w:sz w:val="32"/>
          <w:szCs w:val="32"/>
        </w:rPr>
      </w:pPr>
      <w:r>
        <w:rPr>
          <w:rStyle w:val="6"/>
          <w:rFonts w:ascii="楷体_GB2312" w:hAnsi="楷体_GB2312" w:eastAsia="楷体_GB2312"/>
          <w:sz w:val="32"/>
          <w:szCs w:val="32"/>
        </w:rPr>
        <w:t>（一）基本支出：</w:t>
      </w:r>
      <w:r>
        <w:rPr>
          <w:rStyle w:val="6"/>
          <w:rFonts w:ascii="仿宋_GB2312" w:hAnsi="仿宋_GB2312" w:eastAsia="仿宋_GB2312"/>
          <w:sz w:val="32"/>
          <w:szCs w:val="32"/>
        </w:rPr>
        <w:t>指为保障机构正常运转、完成日常工作任务而发生的人员支出和公用支出。</w:t>
      </w:r>
    </w:p>
    <w:p>
      <w:pPr>
        <w:spacing w:line="560" w:lineRule="exact"/>
        <w:ind w:firstLine="630"/>
        <w:textAlignment w:val="auto"/>
        <w:rPr>
          <w:rStyle w:val="6"/>
          <w:rFonts w:ascii="仿宋_GB2312" w:hAnsi="宋体" w:eastAsia="仿宋_GB2312"/>
          <w:sz w:val="32"/>
          <w:szCs w:val="32"/>
        </w:rPr>
      </w:pPr>
      <w:r>
        <w:rPr>
          <w:rStyle w:val="6"/>
          <w:rFonts w:ascii="楷体_GB2312" w:hAnsi="楷体_GB2312" w:eastAsia="楷体_GB2312"/>
          <w:sz w:val="32"/>
          <w:szCs w:val="32"/>
        </w:rPr>
        <w:t>（二）项目支出：</w:t>
      </w:r>
      <w:r>
        <w:rPr>
          <w:rStyle w:val="6"/>
          <w:rFonts w:ascii="仿宋_GB2312" w:hAnsi="仿宋_GB2312" w:eastAsia="仿宋_GB2312"/>
          <w:sz w:val="32"/>
          <w:szCs w:val="32"/>
        </w:rPr>
        <w:t>指在基本支出之外为完成特定行政任务和事业发展目标所发生的支出。</w:t>
      </w:r>
    </w:p>
    <w:p>
      <w:pPr>
        <w:spacing w:line="560" w:lineRule="exact"/>
        <w:ind w:firstLine="630"/>
        <w:textAlignment w:val="auto"/>
        <w:rPr>
          <w:rStyle w:val="6"/>
          <w:rFonts w:ascii="仿宋_GB2312" w:hAnsi="仿宋_GB2312" w:eastAsia="仿宋_GB2312"/>
          <w:sz w:val="32"/>
          <w:szCs w:val="32"/>
        </w:rPr>
      </w:pPr>
      <w:r>
        <w:rPr>
          <w:rStyle w:val="6"/>
          <w:rFonts w:ascii="楷体_GB2312" w:hAnsi="楷体_GB2312" w:eastAsia="楷体_GB2312"/>
          <w:sz w:val="32"/>
          <w:szCs w:val="32"/>
        </w:rPr>
        <w:t>（三）“三公”经费：</w:t>
      </w:r>
      <w:r>
        <w:rPr>
          <w:rStyle w:val="6"/>
          <w:rFonts w:ascii="仿宋_GB2312" w:hAnsi="仿宋_GB2312" w:eastAsia="仿宋_GB2312"/>
          <w:sz w:val="32"/>
          <w:szCs w:val="32"/>
        </w:rPr>
        <w:t>指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pPr>
        <w:spacing w:line="560" w:lineRule="exact"/>
        <w:ind w:firstLine="630"/>
        <w:textAlignment w:val="auto"/>
        <w:rPr>
          <w:rStyle w:val="6"/>
          <w:rFonts w:ascii="仿宋_GB2312" w:hAnsi="仿宋_GB2312" w:eastAsia="仿宋_GB2312"/>
          <w:sz w:val="32"/>
          <w:szCs w:val="32"/>
        </w:rPr>
      </w:pPr>
      <w:r>
        <w:rPr>
          <w:rStyle w:val="6"/>
          <w:rFonts w:ascii="楷体_GB2312" w:hAnsi="楷体_GB2312" w:eastAsia="楷体_GB2312"/>
          <w:sz w:val="32"/>
          <w:szCs w:val="32"/>
        </w:rPr>
        <w:t>（四）机关运行经费：</w:t>
      </w:r>
      <w:r>
        <w:rPr>
          <w:rStyle w:val="6"/>
          <w:rFonts w:ascii="仿宋_GB2312" w:hAns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30"/>
        <w:jc w:val="right"/>
        <w:rPr>
          <w:rStyle w:val="6"/>
          <w:rFonts w:ascii="仿宋_GB2312" w:hAnsi="宋体" w:eastAsia="仿宋_GB2312"/>
          <w:sz w:val="32"/>
          <w:szCs w:val="32"/>
        </w:rPr>
      </w:pPr>
      <w:r>
        <w:rPr>
          <w:rStyle w:val="6"/>
          <w:rFonts w:ascii="仿宋" w:hAnsi="仿宋" w:eastAsia="仿宋"/>
          <w:sz w:val="32"/>
          <w:szCs w:val="32"/>
        </w:rPr>
        <w:t xml:space="preserve">  </w:t>
      </w:r>
      <w:r>
        <w:rPr>
          <w:rStyle w:val="6"/>
          <w:rFonts w:ascii="仿宋_GB2312" w:hAnsi="仿宋_GB2312" w:eastAsia="仿宋_GB2312"/>
          <w:sz w:val="32"/>
          <w:szCs w:val="32"/>
        </w:rPr>
        <w:t xml:space="preserve">2021年3月15日 </w:t>
      </w:r>
      <w:r>
        <w:rPr>
          <w:rStyle w:val="6"/>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4444AD"/>
    <w:rsid w:val="00264E92"/>
    <w:rsid w:val="00282B8F"/>
    <w:rsid w:val="002E3611"/>
    <w:rsid w:val="003B3BF1"/>
    <w:rsid w:val="004444AD"/>
    <w:rsid w:val="00553089"/>
    <w:rsid w:val="005A57D1"/>
    <w:rsid w:val="00685E51"/>
    <w:rsid w:val="00891004"/>
    <w:rsid w:val="00947B96"/>
    <w:rsid w:val="00A34377"/>
    <w:rsid w:val="00BF37A8"/>
    <w:rsid w:val="00E669EA"/>
    <w:rsid w:val="00F67C39"/>
    <w:rsid w:val="03B66D3C"/>
    <w:rsid w:val="0D7D4058"/>
    <w:rsid w:val="17900FBE"/>
    <w:rsid w:val="408D24F8"/>
    <w:rsid w:val="42CF0865"/>
    <w:rsid w:val="56E33821"/>
    <w:rsid w:val="5A3C63BC"/>
    <w:rsid w:val="60E1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0"/>
  </w:style>
  <w:style w:type="table" w:customStyle="1" w:styleId="7">
    <w:name w:val="TableNormal"/>
    <w:semiHidden/>
    <w:qFormat/>
    <w:uiPriority w:val="0"/>
    <w:tblPr>
      <w:tblCellMar>
        <w:top w:w="0" w:type="dxa"/>
        <w:left w:w="0" w:type="dxa"/>
        <w:bottom w:w="0" w:type="dxa"/>
        <w:right w:w="0" w:type="dxa"/>
      </w:tblCellMar>
    </w:tblPr>
  </w:style>
  <w:style w:type="paragraph" w:customStyle="1" w:styleId="8">
    <w:name w:val="Footer"/>
    <w:basedOn w:val="1"/>
    <w:link w:val="9"/>
    <w:qFormat/>
    <w:uiPriority w:val="0"/>
    <w:pPr>
      <w:tabs>
        <w:tab w:val="center" w:pos="4153"/>
        <w:tab w:val="right" w:pos="8306"/>
      </w:tabs>
      <w:snapToGrid w:val="0"/>
      <w:jc w:val="left"/>
    </w:pPr>
    <w:rPr>
      <w:sz w:val="18"/>
      <w:szCs w:val="18"/>
    </w:rPr>
  </w:style>
  <w:style w:type="character" w:customStyle="1" w:styleId="9">
    <w:name w:val="UserStyle_0"/>
    <w:basedOn w:val="6"/>
    <w:link w:val="8"/>
    <w:qFormat/>
    <w:uiPriority w:val="0"/>
    <w:rPr>
      <w:kern w:val="2"/>
      <w:sz w:val="18"/>
      <w:szCs w:val="18"/>
    </w:rPr>
  </w:style>
  <w:style w:type="paragraph" w:customStyle="1" w:styleId="10">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customStyle="1" w:styleId="11">
    <w:name w:val="UserStyle_1"/>
    <w:basedOn w:val="6"/>
    <w:link w:val="10"/>
    <w:qFormat/>
    <w:uiPriority w:val="0"/>
    <w:rPr>
      <w:kern w:val="2"/>
      <w:sz w:val="18"/>
      <w:szCs w:val="18"/>
    </w:rPr>
  </w:style>
  <w:style w:type="character" w:customStyle="1" w:styleId="12">
    <w:name w:val="页眉 Char"/>
    <w:basedOn w:val="5"/>
    <w:link w:val="3"/>
    <w:semiHidden/>
    <w:qFormat/>
    <w:uiPriority w:val="99"/>
    <w:rPr>
      <w:kern w:val="2"/>
      <w:sz w:val="18"/>
      <w:szCs w:val="18"/>
    </w:rPr>
  </w:style>
  <w:style w:type="character" w:customStyle="1" w:styleId="13">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223</Words>
  <Characters>1277</Characters>
  <Lines>10</Lines>
  <Paragraphs>2</Paragraphs>
  <TotalTime>39</TotalTime>
  <ScaleCrop>false</ScaleCrop>
  <LinksUpToDate>false</LinksUpToDate>
  <CharactersWithSpaces>1498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2021-03-22T03:34:00Z</dcterms:created>
  <dc:creator>zxh</dc:creator>
  <cp:lastModifiedBy>Tong粑粑</cp:lastModifiedBy>
  <dcterms:modified xsi:type="dcterms:W3CDTF">2021-06-22T01:51:02Z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D3C07A74C1064F809BEBED67B7326238</vt:lpwstr>
  </property>
</Properties>
</file>