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14"/>
        <w:tblW w:w="852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76" w:hRule="atLeast"/>
        </w:trPr>
        <w:tc>
          <w:tcPr>
            <w:tcW w:w="8522" w:type="dxa"/>
          </w:tcPr>
          <w:p>
            <w:pPr>
              <w:autoSpaceDE w:val="0"/>
              <w:autoSpaceDN w:val="0"/>
              <w:adjustRightInd w:val="0"/>
              <w:spacing w:line="360" w:lineRule="auto"/>
              <w:rPr>
                <w:rFonts w:ascii="黑体" w:eastAsia="黑体" w:cs="黑体"/>
                <w:kern w:val="0"/>
                <w:sz w:val="36"/>
                <w:szCs w:val="36"/>
              </w:rPr>
            </w:pPr>
          </w:p>
          <w:p>
            <w:pPr>
              <w:autoSpaceDE w:val="0"/>
              <w:autoSpaceDN w:val="0"/>
              <w:adjustRightInd w:val="0"/>
              <w:spacing w:line="360" w:lineRule="auto"/>
              <w:rPr>
                <w:rFonts w:ascii="黑体" w:eastAsia="黑体" w:cs="黑体"/>
                <w:kern w:val="0"/>
                <w:sz w:val="36"/>
                <w:szCs w:val="36"/>
              </w:rPr>
            </w:pPr>
          </w:p>
          <w:p>
            <w:pPr>
              <w:jc w:val="right"/>
              <w:rPr>
                <w:rFonts w:ascii="黑体" w:eastAsia="黑体"/>
                <w:sz w:val="28"/>
                <w:szCs w:val="28"/>
              </w:rPr>
            </w:pPr>
            <w:r>
              <w:rPr>
                <w:rFonts w:hint="eastAsia" w:ascii="黑体" w:eastAsia="黑体"/>
                <w:sz w:val="28"/>
                <w:szCs w:val="28"/>
              </w:rPr>
              <w:t>运黄河绩评【</w:t>
            </w:r>
            <w:r>
              <w:rPr>
                <w:rFonts w:ascii="黑体" w:eastAsia="黑体"/>
                <w:sz w:val="28"/>
                <w:szCs w:val="28"/>
              </w:rPr>
              <w:t>20</w:t>
            </w:r>
            <w:r>
              <w:rPr>
                <w:rFonts w:hint="eastAsia" w:ascii="黑体" w:eastAsia="黑体"/>
                <w:sz w:val="28"/>
                <w:szCs w:val="28"/>
              </w:rPr>
              <w:t>20】第005 号</w:t>
            </w:r>
          </w:p>
          <w:p>
            <w:pPr>
              <w:jc w:val="center"/>
              <w:rPr>
                <w:rFonts w:ascii="黑体" w:eastAsia="黑体"/>
                <w:sz w:val="28"/>
                <w:szCs w:val="28"/>
              </w:rPr>
            </w:pPr>
          </w:p>
          <w:p>
            <w:pPr>
              <w:jc w:val="center"/>
              <w:rPr>
                <w:rFonts w:ascii="黑体" w:eastAsia="黑体"/>
                <w:sz w:val="28"/>
                <w:szCs w:val="28"/>
              </w:rPr>
            </w:pPr>
          </w:p>
          <w:p>
            <w:pPr>
              <w:autoSpaceDE w:val="0"/>
              <w:autoSpaceDN w:val="0"/>
              <w:adjustRightInd w:val="0"/>
              <w:spacing w:line="360" w:lineRule="auto"/>
              <w:jc w:val="center"/>
              <w:rPr>
                <w:rFonts w:ascii="黑体" w:eastAsia="黑体" w:cs="黑体"/>
                <w:kern w:val="0"/>
                <w:sz w:val="44"/>
                <w:szCs w:val="44"/>
              </w:rPr>
            </w:pPr>
            <w:r>
              <w:rPr>
                <w:rFonts w:hint="eastAsia" w:ascii="黑体" w:eastAsia="黑体" w:cs="黑体"/>
                <w:kern w:val="0"/>
                <w:sz w:val="44"/>
                <w:szCs w:val="44"/>
              </w:rPr>
              <w:t>南山生态修复荒滩绿化项目</w:t>
            </w:r>
          </w:p>
          <w:p>
            <w:pPr>
              <w:autoSpaceDE w:val="0"/>
              <w:autoSpaceDN w:val="0"/>
              <w:adjustRightInd w:val="0"/>
              <w:spacing w:line="360" w:lineRule="auto"/>
              <w:jc w:val="center"/>
              <w:rPr>
                <w:rFonts w:ascii="黑体" w:eastAsia="黑体" w:cs="黑体"/>
                <w:kern w:val="0"/>
                <w:sz w:val="44"/>
                <w:szCs w:val="44"/>
              </w:rPr>
            </w:pPr>
            <w:r>
              <w:rPr>
                <w:rFonts w:hint="eastAsia" w:ascii="黑体" w:eastAsia="黑体" w:cs="黑体"/>
                <w:kern w:val="0"/>
                <w:sz w:val="44"/>
                <w:szCs w:val="44"/>
              </w:rPr>
              <w:t>第三方绩效评价报告</w:t>
            </w:r>
          </w:p>
          <w:p>
            <w:pPr>
              <w:autoSpaceDE w:val="0"/>
              <w:autoSpaceDN w:val="0"/>
              <w:adjustRightInd w:val="0"/>
              <w:spacing w:line="360" w:lineRule="auto"/>
              <w:jc w:val="center"/>
              <w:rPr>
                <w:rFonts w:ascii="??_GB2312" w:cs="??_GB2312" w:eastAsiaTheme="minorEastAsia"/>
                <w:kern w:val="0"/>
                <w:sz w:val="30"/>
                <w:szCs w:val="30"/>
              </w:rPr>
            </w:pPr>
          </w:p>
          <w:p>
            <w:pPr>
              <w:autoSpaceDE w:val="0"/>
              <w:autoSpaceDN w:val="0"/>
              <w:adjustRightInd w:val="0"/>
              <w:spacing w:line="360" w:lineRule="auto"/>
              <w:jc w:val="center"/>
              <w:rPr>
                <w:rFonts w:ascii="??_GB2312" w:cs="??_GB2312" w:eastAsiaTheme="minorEastAsia"/>
                <w:kern w:val="0"/>
                <w:sz w:val="30"/>
                <w:szCs w:val="30"/>
              </w:rPr>
            </w:pPr>
          </w:p>
          <w:p>
            <w:pPr>
              <w:autoSpaceDE w:val="0"/>
              <w:autoSpaceDN w:val="0"/>
              <w:adjustRightInd w:val="0"/>
              <w:spacing w:line="360" w:lineRule="auto"/>
              <w:jc w:val="center"/>
              <w:rPr>
                <w:rFonts w:ascii="??_GB2312" w:cs="??_GB2312" w:eastAsiaTheme="minorEastAsia"/>
                <w:kern w:val="0"/>
                <w:sz w:val="30"/>
                <w:szCs w:val="30"/>
              </w:rPr>
            </w:pPr>
          </w:p>
          <w:p>
            <w:pPr>
              <w:autoSpaceDE w:val="0"/>
              <w:autoSpaceDN w:val="0"/>
              <w:adjustRightInd w:val="0"/>
              <w:spacing w:line="360" w:lineRule="auto"/>
              <w:jc w:val="center"/>
              <w:rPr>
                <w:rFonts w:ascii="??_GB2312" w:cs="??_GB2312" w:eastAsiaTheme="minorEastAsia"/>
                <w:kern w:val="0"/>
                <w:sz w:val="30"/>
                <w:szCs w:val="30"/>
              </w:rPr>
            </w:pPr>
          </w:p>
          <w:p>
            <w:pPr>
              <w:autoSpaceDE w:val="0"/>
              <w:autoSpaceDN w:val="0"/>
              <w:adjustRightInd w:val="0"/>
              <w:spacing w:line="360" w:lineRule="auto"/>
              <w:ind w:firstLine="1120" w:firstLineChars="350"/>
              <w:rPr>
                <w:rFonts w:ascii="仿宋" w:hAnsi="仿宋" w:eastAsia="仿宋" w:cs="仿宋"/>
                <w:kern w:val="0"/>
                <w:sz w:val="32"/>
                <w:szCs w:val="32"/>
              </w:rPr>
            </w:pPr>
            <w:r>
              <w:rPr>
                <w:rFonts w:hint="eastAsia" w:ascii="仿宋" w:hAnsi="仿宋" w:eastAsia="仿宋" w:cs="仿宋"/>
                <w:kern w:val="0"/>
                <w:sz w:val="32"/>
                <w:szCs w:val="32"/>
              </w:rPr>
              <w:t>项目名称：南山生态修复荒滩绿化项目</w:t>
            </w:r>
          </w:p>
          <w:p>
            <w:pPr>
              <w:autoSpaceDE w:val="0"/>
              <w:autoSpaceDN w:val="0"/>
              <w:adjustRightInd w:val="0"/>
              <w:spacing w:line="360" w:lineRule="auto"/>
              <w:ind w:firstLine="1120" w:firstLineChars="350"/>
              <w:rPr>
                <w:rFonts w:ascii="仿宋" w:hAnsi="仿宋" w:eastAsia="仿宋" w:cs="仿宋"/>
                <w:kern w:val="0"/>
                <w:sz w:val="32"/>
                <w:szCs w:val="32"/>
              </w:rPr>
            </w:pPr>
            <w:r>
              <w:rPr>
                <w:rFonts w:hint="eastAsia" w:ascii="仿宋" w:hAnsi="仿宋" w:eastAsia="仿宋" w:cs="仿宋"/>
                <w:kern w:val="0"/>
                <w:sz w:val="32"/>
                <w:szCs w:val="32"/>
              </w:rPr>
              <w:t>主管部门：运城市规划和自然资源局</w:t>
            </w:r>
          </w:p>
          <w:p>
            <w:pPr>
              <w:autoSpaceDE w:val="0"/>
              <w:autoSpaceDN w:val="0"/>
              <w:adjustRightInd w:val="0"/>
              <w:spacing w:line="360" w:lineRule="auto"/>
              <w:ind w:firstLine="1120" w:firstLineChars="350"/>
              <w:rPr>
                <w:rFonts w:ascii="仿宋" w:hAnsi="仿宋" w:eastAsia="仿宋" w:cs="仿宋"/>
                <w:kern w:val="0"/>
                <w:sz w:val="32"/>
                <w:szCs w:val="32"/>
              </w:rPr>
            </w:pPr>
            <w:r>
              <w:rPr>
                <w:rFonts w:hint="eastAsia" w:ascii="仿宋" w:hAnsi="仿宋" w:eastAsia="仿宋" w:cs="仿宋"/>
                <w:kern w:val="0"/>
                <w:sz w:val="32"/>
                <w:szCs w:val="32"/>
              </w:rPr>
              <w:t>实施单位：运城市盐湖区林业局</w:t>
            </w:r>
          </w:p>
          <w:p>
            <w:pPr>
              <w:autoSpaceDE w:val="0"/>
              <w:autoSpaceDN w:val="0"/>
              <w:adjustRightInd w:val="0"/>
              <w:spacing w:line="360" w:lineRule="auto"/>
              <w:ind w:firstLine="1120" w:firstLineChars="350"/>
              <w:rPr>
                <w:rFonts w:ascii="仿宋" w:hAnsi="仿宋" w:eastAsia="仿宋" w:cs="仿宋"/>
                <w:kern w:val="0"/>
                <w:sz w:val="32"/>
                <w:szCs w:val="32"/>
              </w:rPr>
            </w:pPr>
            <w:r>
              <w:rPr>
                <w:rFonts w:hint="eastAsia" w:ascii="仿宋" w:hAnsi="仿宋" w:eastAsia="仿宋" w:cs="仿宋"/>
                <w:kern w:val="0"/>
                <w:sz w:val="32"/>
                <w:szCs w:val="32"/>
              </w:rPr>
              <w:t>委托单位：运城市财政局</w:t>
            </w:r>
          </w:p>
          <w:p>
            <w:pPr>
              <w:autoSpaceDE w:val="0"/>
              <w:autoSpaceDN w:val="0"/>
              <w:adjustRightInd w:val="0"/>
              <w:spacing w:line="360" w:lineRule="auto"/>
              <w:ind w:firstLine="1120" w:firstLineChars="350"/>
              <w:rPr>
                <w:rFonts w:ascii="仿宋" w:hAnsi="仿宋" w:eastAsia="仿宋" w:cs="仿宋"/>
                <w:kern w:val="0"/>
                <w:sz w:val="32"/>
                <w:szCs w:val="32"/>
              </w:rPr>
            </w:pPr>
            <w:r>
              <w:rPr>
                <w:rFonts w:hint="eastAsia" w:ascii="仿宋" w:hAnsi="仿宋" w:eastAsia="仿宋" w:cs="仿宋"/>
                <w:kern w:val="0"/>
                <w:sz w:val="32"/>
                <w:szCs w:val="32"/>
              </w:rPr>
              <w:t>评价机构：运城黄河会计师事务所有限公司</w:t>
            </w:r>
          </w:p>
          <w:p>
            <w:pPr>
              <w:autoSpaceDE w:val="0"/>
              <w:autoSpaceDN w:val="0"/>
              <w:adjustRightInd w:val="0"/>
              <w:spacing w:line="360" w:lineRule="auto"/>
              <w:rPr>
                <w:rFonts w:ascii="??_GB2312" w:cs="??_GB2312"/>
                <w:kern w:val="0"/>
                <w:sz w:val="32"/>
                <w:szCs w:val="32"/>
              </w:rPr>
            </w:pPr>
          </w:p>
          <w:p>
            <w:pPr>
              <w:autoSpaceDE w:val="0"/>
              <w:autoSpaceDN w:val="0"/>
              <w:adjustRightInd w:val="0"/>
              <w:spacing w:line="360" w:lineRule="auto"/>
              <w:jc w:val="center"/>
              <w:rPr>
                <w:rFonts w:ascii="??_GB2312" w:eastAsia="Times New Roman" w:cs="??_GB2312"/>
                <w:kern w:val="0"/>
                <w:sz w:val="30"/>
                <w:szCs w:val="30"/>
              </w:rPr>
            </w:pPr>
            <w:r>
              <w:rPr>
                <w:rFonts w:ascii="仿宋" w:hAnsi="仿宋" w:eastAsia="仿宋" w:cs="仿宋"/>
                <w:kern w:val="0"/>
                <w:sz w:val="32"/>
                <w:szCs w:val="32"/>
              </w:rPr>
              <w:t>20</w:t>
            </w:r>
            <w:r>
              <w:rPr>
                <w:rFonts w:hint="eastAsia" w:ascii="仿宋" w:hAnsi="仿宋" w:eastAsia="仿宋" w:cs="仿宋"/>
                <w:kern w:val="0"/>
                <w:sz w:val="32"/>
                <w:szCs w:val="32"/>
              </w:rPr>
              <w:t>20年9月30日</w:t>
            </w:r>
          </w:p>
        </w:tc>
      </w:tr>
    </w:tbl>
    <w:p>
      <w:pPr>
        <w:autoSpaceDE w:val="0"/>
        <w:autoSpaceDN w:val="0"/>
        <w:adjustRightInd w:val="0"/>
        <w:spacing w:line="360" w:lineRule="auto"/>
        <w:jc w:val="center"/>
        <w:rPr>
          <w:rFonts w:cs="??_GB2312"/>
          <w:kern w:val="0"/>
          <w:sz w:val="30"/>
          <w:szCs w:val="30"/>
        </w:rPr>
        <w:sectPr>
          <w:headerReference r:id="rId5" w:type="first"/>
          <w:headerReference r:id="rId3" w:type="default"/>
          <w:headerReference r:id="rId4" w:type="even"/>
          <w:footerReference r:id="rId6" w:type="even"/>
          <w:pgSz w:w="11906" w:h="16838"/>
          <w:pgMar w:top="1440" w:right="1800" w:bottom="1440" w:left="1800" w:header="851" w:footer="992" w:gutter="0"/>
          <w:cols w:space="425" w:num="1"/>
          <w:titlePg/>
          <w:docGrid w:type="lines" w:linePitch="312" w:charSpace="0"/>
        </w:sectPr>
      </w:pPr>
    </w:p>
    <w:p>
      <w:pPr>
        <w:autoSpaceDE w:val="0"/>
        <w:autoSpaceDN w:val="0"/>
        <w:adjustRightInd w:val="0"/>
        <w:spacing w:line="360" w:lineRule="auto"/>
        <w:jc w:val="center"/>
        <w:rPr>
          <w:rFonts w:ascii="宋体" w:hAnsi="宋体"/>
          <w:sz w:val="24"/>
        </w:rPr>
      </w:pPr>
      <w:r>
        <w:rPr>
          <w:rFonts w:hint="eastAsia" w:ascii="宋体" w:hAnsi="宋体"/>
          <w:sz w:val="24"/>
        </w:rPr>
        <w:t>目录</w:t>
      </w:r>
    </w:p>
    <w:p>
      <w:pPr>
        <w:pStyle w:val="11"/>
        <w:tabs>
          <w:tab w:val="right" w:leader="dot" w:pos="8296"/>
        </w:tabs>
        <w:spacing w:line="360" w:lineRule="auto"/>
        <w:rPr>
          <w:rFonts w:ascii="仿宋" w:hAnsi="仿宋" w:eastAsia="仿宋" w:cs="仿宋"/>
          <w:sz w:val="24"/>
        </w:rPr>
      </w:pPr>
      <w:r>
        <w:rPr>
          <w:rFonts w:ascii="??_GB2312" w:hAnsi="宋体" w:eastAsia="Times New Roman"/>
          <w:bCs/>
          <w:sz w:val="24"/>
        </w:rPr>
        <w:fldChar w:fldCharType="begin"/>
      </w:r>
      <w:r>
        <w:rPr>
          <w:rFonts w:ascii="??_GB2312" w:hAnsi="宋体" w:eastAsia="Times New Roman"/>
          <w:bCs/>
          <w:sz w:val="24"/>
        </w:rPr>
        <w:instrText xml:space="preserve"> TOC \o "1-3" \h \z \u </w:instrText>
      </w:r>
      <w:r>
        <w:rPr>
          <w:rFonts w:ascii="??_GB2312" w:hAnsi="宋体" w:eastAsia="Times New Roman"/>
          <w:bCs/>
          <w:sz w:val="24"/>
        </w:rPr>
        <w:fldChar w:fldCharType="separate"/>
      </w:r>
      <w:r>
        <w:fldChar w:fldCharType="begin"/>
      </w:r>
      <w:r>
        <w:instrText xml:space="preserve"> HYPERLINK \l "_Toc24633784" </w:instrText>
      </w:r>
      <w:r>
        <w:fldChar w:fldCharType="separate"/>
      </w:r>
      <w:r>
        <w:rPr>
          <w:rFonts w:hint="eastAsia" w:ascii="仿宋" w:hAnsi="仿宋" w:eastAsia="仿宋" w:cs="仿宋"/>
          <w:sz w:val="24"/>
        </w:rPr>
        <w:t>摘</w:t>
      </w:r>
      <w:r>
        <w:rPr>
          <w:rFonts w:ascii="仿宋" w:hAnsi="仿宋" w:eastAsia="仿宋" w:cs="仿宋"/>
          <w:sz w:val="24"/>
        </w:rPr>
        <w:t xml:space="preserve"> </w:t>
      </w:r>
      <w:r>
        <w:rPr>
          <w:rFonts w:hint="eastAsia" w:ascii="仿宋" w:hAnsi="仿宋" w:eastAsia="仿宋" w:cs="仿宋"/>
          <w:sz w:val="24"/>
        </w:rPr>
        <w:t>要</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_Toc24633784 \h </w:instrText>
      </w:r>
      <w:r>
        <w:rPr>
          <w:rFonts w:ascii="仿宋" w:hAnsi="仿宋" w:eastAsia="仿宋" w:cs="仿宋"/>
          <w:sz w:val="24"/>
        </w:rPr>
        <w:fldChar w:fldCharType="separate"/>
      </w:r>
      <w:r>
        <w:rPr>
          <w:rFonts w:ascii="仿宋" w:hAnsi="仿宋" w:eastAsia="仿宋" w:cs="仿宋"/>
          <w:sz w:val="24"/>
        </w:rPr>
        <w:t>1</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296"/>
        </w:tabs>
        <w:spacing w:line="360" w:lineRule="auto"/>
        <w:rPr>
          <w:rFonts w:ascii="仿宋" w:hAnsi="仿宋" w:eastAsia="仿宋" w:cs="仿宋"/>
          <w:sz w:val="24"/>
        </w:rPr>
      </w:pPr>
      <w:r>
        <w:fldChar w:fldCharType="begin"/>
      </w:r>
      <w:r>
        <w:instrText xml:space="preserve"> HYPERLINK \l "_Toc24633786" </w:instrText>
      </w:r>
      <w:r>
        <w:fldChar w:fldCharType="separate"/>
      </w:r>
      <w:r>
        <w:rPr>
          <w:rFonts w:hint="eastAsia" w:ascii="仿宋" w:hAnsi="仿宋" w:eastAsia="仿宋" w:cs="仿宋"/>
          <w:sz w:val="24"/>
        </w:rPr>
        <w:t>一、项目基本情况</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_Toc24633786 \h </w:instrText>
      </w:r>
      <w:r>
        <w:rPr>
          <w:rFonts w:ascii="仿宋" w:hAnsi="仿宋" w:eastAsia="仿宋" w:cs="仿宋"/>
          <w:sz w:val="24"/>
        </w:rPr>
        <w:fldChar w:fldCharType="separate"/>
      </w:r>
      <w:r>
        <w:rPr>
          <w:rFonts w:ascii="仿宋" w:hAnsi="仿宋" w:eastAsia="仿宋" w:cs="仿宋"/>
          <w:sz w:val="24"/>
        </w:rPr>
        <w:t>6</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"_Toc24633787" </w:instrText>
      </w:r>
      <w:r>
        <w:fldChar w:fldCharType="separate"/>
      </w:r>
      <w:r>
        <w:rPr>
          <w:rFonts w:hint="eastAsia" w:ascii="仿宋" w:hAnsi="仿宋" w:eastAsia="仿宋" w:cs="仿宋"/>
          <w:sz w:val="24"/>
        </w:rPr>
        <w:t>（一）项目概况</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_Toc24633787 \h </w:instrText>
      </w:r>
      <w:r>
        <w:rPr>
          <w:rFonts w:ascii="仿宋" w:hAnsi="仿宋" w:eastAsia="仿宋" w:cs="仿宋"/>
          <w:sz w:val="24"/>
        </w:rPr>
        <w:fldChar w:fldCharType="separate"/>
      </w:r>
      <w:r>
        <w:rPr>
          <w:rFonts w:ascii="仿宋" w:hAnsi="仿宋" w:eastAsia="仿宋" w:cs="仿宋"/>
          <w:sz w:val="24"/>
        </w:rPr>
        <w:t>6</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"_Toc24633788" </w:instrText>
      </w:r>
      <w:r>
        <w:fldChar w:fldCharType="separate"/>
      </w:r>
      <w:r>
        <w:rPr>
          <w:rFonts w:hint="eastAsia" w:ascii="仿宋" w:hAnsi="仿宋" w:eastAsia="仿宋" w:cs="仿宋"/>
          <w:sz w:val="24"/>
        </w:rPr>
        <w:t>（二）项目绩效目标</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_Toc24633788 \h </w:instrText>
      </w:r>
      <w:r>
        <w:rPr>
          <w:rFonts w:ascii="仿宋" w:hAnsi="仿宋" w:eastAsia="仿宋" w:cs="仿宋"/>
          <w:sz w:val="24"/>
        </w:rPr>
        <w:fldChar w:fldCharType="separate"/>
      </w:r>
      <w:r>
        <w:rPr>
          <w:rFonts w:ascii="仿宋" w:hAnsi="仿宋" w:eastAsia="仿宋" w:cs="仿宋"/>
          <w:sz w:val="24"/>
        </w:rPr>
        <w:t>12</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296"/>
        </w:tabs>
        <w:spacing w:line="360" w:lineRule="auto"/>
        <w:rPr>
          <w:rFonts w:ascii="仿宋" w:hAnsi="仿宋" w:eastAsia="仿宋" w:cs="仿宋"/>
          <w:sz w:val="24"/>
        </w:rPr>
      </w:pPr>
      <w:r>
        <w:fldChar w:fldCharType="begin"/>
      </w:r>
      <w:r>
        <w:instrText xml:space="preserve"> HYPERLINK \l "_Toc24633789" </w:instrText>
      </w:r>
      <w:r>
        <w:fldChar w:fldCharType="separate"/>
      </w:r>
      <w:r>
        <w:rPr>
          <w:rFonts w:hint="eastAsia" w:ascii="仿宋" w:hAnsi="仿宋" w:eastAsia="仿宋" w:cs="仿宋"/>
          <w:sz w:val="24"/>
        </w:rPr>
        <w:t>二、绩效评价工作情况</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_Toc24633789 \h </w:instrText>
      </w:r>
      <w:r>
        <w:rPr>
          <w:rFonts w:ascii="仿宋" w:hAnsi="仿宋" w:eastAsia="仿宋" w:cs="仿宋"/>
          <w:sz w:val="24"/>
        </w:rPr>
        <w:fldChar w:fldCharType="separate"/>
      </w:r>
      <w:r>
        <w:rPr>
          <w:rFonts w:ascii="仿宋" w:hAnsi="仿宋" w:eastAsia="仿宋" w:cs="仿宋"/>
          <w:sz w:val="24"/>
        </w:rPr>
        <w:t>13</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"_Toc24633790" </w:instrText>
      </w:r>
      <w:r>
        <w:fldChar w:fldCharType="separate"/>
      </w:r>
      <w:r>
        <w:rPr>
          <w:rFonts w:hint="eastAsia" w:ascii="仿宋" w:hAnsi="仿宋" w:eastAsia="仿宋" w:cs="仿宋"/>
          <w:sz w:val="24"/>
        </w:rPr>
        <w:t>（一）绩效评价目的</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_Toc24633790 \h </w:instrText>
      </w:r>
      <w:r>
        <w:rPr>
          <w:rFonts w:ascii="仿宋" w:hAnsi="仿宋" w:eastAsia="仿宋" w:cs="仿宋"/>
          <w:sz w:val="24"/>
        </w:rPr>
        <w:fldChar w:fldCharType="separate"/>
      </w:r>
      <w:r>
        <w:rPr>
          <w:rFonts w:ascii="仿宋" w:hAnsi="仿宋" w:eastAsia="仿宋" w:cs="仿宋"/>
          <w:sz w:val="24"/>
        </w:rPr>
        <w:t>13</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"_Toc24633791" </w:instrText>
      </w:r>
      <w:r>
        <w:fldChar w:fldCharType="separate"/>
      </w:r>
      <w:r>
        <w:rPr>
          <w:rFonts w:hint="eastAsia" w:ascii="仿宋" w:hAnsi="仿宋" w:eastAsia="仿宋" w:cs="仿宋"/>
          <w:sz w:val="24"/>
        </w:rPr>
        <w:t>（二）评价对象和范围</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_Toc24633791 \h </w:instrText>
      </w:r>
      <w:r>
        <w:rPr>
          <w:rFonts w:ascii="仿宋" w:hAnsi="仿宋" w:eastAsia="仿宋" w:cs="仿宋"/>
          <w:sz w:val="24"/>
        </w:rPr>
        <w:fldChar w:fldCharType="separate"/>
      </w:r>
      <w:r>
        <w:rPr>
          <w:rFonts w:ascii="仿宋" w:hAnsi="仿宋" w:eastAsia="仿宋" w:cs="仿宋"/>
          <w:sz w:val="24"/>
        </w:rPr>
        <w:t>13</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"_Toc24633792" </w:instrText>
      </w:r>
      <w:r>
        <w:fldChar w:fldCharType="separate"/>
      </w:r>
      <w:r>
        <w:rPr>
          <w:rFonts w:hint="eastAsia" w:ascii="仿宋" w:hAnsi="仿宋" w:eastAsia="仿宋" w:cs="仿宋"/>
          <w:sz w:val="24"/>
        </w:rPr>
        <w:t>（三）评价依据</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_Toc24633792 \h </w:instrText>
      </w:r>
      <w:r>
        <w:rPr>
          <w:rFonts w:ascii="仿宋" w:hAnsi="仿宋" w:eastAsia="仿宋" w:cs="仿宋"/>
          <w:sz w:val="24"/>
        </w:rPr>
        <w:fldChar w:fldCharType="separate"/>
      </w:r>
      <w:r>
        <w:rPr>
          <w:rFonts w:ascii="仿宋" w:hAnsi="仿宋" w:eastAsia="仿宋" w:cs="仿宋"/>
          <w:sz w:val="24"/>
        </w:rPr>
        <w:t>14</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"_Toc24633793" </w:instrText>
      </w:r>
      <w:r>
        <w:fldChar w:fldCharType="separate"/>
      </w:r>
      <w:r>
        <w:rPr>
          <w:rFonts w:hint="eastAsia" w:ascii="仿宋" w:hAnsi="仿宋" w:eastAsia="仿宋" w:cs="仿宋"/>
          <w:sz w:val="24"/>
        </w:rPr>
        <w:t>（四）绩效评价原则</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_Toc24633793 \h </w:instrText>
      </w:r>
      <w:r>
        <w:rPr>
          <w:rFonts w:ascii="仿宋" w:hAnsi="仿宋" w:eastAsia="仿宋" w:cs="仿宋"/>
          <w:sz w:val="24"/>
        </w:rPr>
        <w:fldChar w:fldCharType="separate"/>
      </w:r>
      <w:r>
        <w:rPr>
          <w:rFonts w:ascii="仿宋" w:hAnsi="仿宋" w:eastAsia="仿宋" w:cs="仿宋"/>
          <w:sz w:val="24"/>
        </w:rPr>
        <w:t>14</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"_Toc24633794" </w:instrText>
      </w:r>
      <w:r>
        <w:fldChar w:fldCharType="separate"/>
      </w:r>
      <w:r>
        <w:rPr>
          <w:rFonts w:hint="eastAsia" w:ascii="仿宋" w:hAnsi="仿宋" w:eastAsia="仿宋" w:cs="仿宋"/>
          <w:sz w:val="24"/>
        </w:rPr>
        <w:t>（五）评价指标体系及评分标准</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_Toc24633794 \h </w:instrText>
      </w:r>
      <w:r>
        <w:rPr>
          <w:rFonts w:ascii="仿宋" w:hAnsi="仿宋" w:eastAsia="仿宋" w:cs="仿宋"/>
          <w:sz w:val="24"/>
        </w:rPr>
        <w:fldChar w:fldCharType="separate"/>
      </w:r>
      <w:r>
        <w:rPr>
          <w:rFonts w:ascii="仿宋" w:hAnsi="仿宋" w:eastAsia="仿宋" w:cs="仿宋"/>
          <w:sz w:val="24"/>
        </w:rPr>
        <w:t>15</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"_Toc24633795" </w:instrText>
      </w:r>
      <w:r>
        <w:fldChar w:fldCharType="separate"/>
      </w:r>
      <w:r>
        <w:rPr>
          <w:rFonts w:hint="eastAsia" w:ascii="仿宋" w:hAnsi="仿宋" w:eastAsia="仿宋" w:cs="仿宋"/>
          <w:sz w:val="24"/>
        </w:rPr>
        <w:t>（六）评价方法</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_Toc24633795 \h </w:instrText>
      </w:r>
      <w:r>
        <w:rPr>
          <w:rFonts w:ascii="仿宋" w:hAnsi="仿宋" w:eastAsia="仿宋" w:cs="仿宋"/>
          <w:sz w:val="24"/>
        </w:rPr>
        <w:fldChar w:fldCharType="separate"/>
      </w:r>
      <w:r>
        <w:rPr>
          <w:rFonts w:ascii="仿宋" w:hAnsi="仿宋" w:eastAsia="仿宋" w:cs="仿宋"/>
          <w:sz w:val="24"/>
        </w:rPr>
        <w:t>15</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"_Toc24633796" </w:instrText>
      </w:r>
      <w:r>
        <w:fldChar w:fldCharType="separate"/>
      </w:r>
      <w:r>
        <w:rPr>
          <w:rFonts w:hint="eastAsia" w:ascii="仿宋" w:hAnsi="仿宋" w:eastAsia="仿宋" w:cs="仿宋"/>
          <w:sz w:val="24"/>
        </w:rPr>
        <w:t>（七）绩效评价工作组及人员分工</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_Toc24633796 \h </w:instrText>
      </w:r>
      <w:r>
        <w:rPr>
          <w:rFonts w:ascii="仿宋" w:hAnsi="仿宋" w:eastAsia="仿宋" w:cs="仿宋"/>
          <w:sz w:val="24"/>
        </w:rPr>
        <w:fldChar w:fldCharType="separate"/>
      </w:r>
      <w:r>
        <w:rPr>
          <w:rFonts w:ascii="仿宋" w:hAnsi="仿宋" w:eastAsia="仿宋" w:cs="仿宋"/>
          <w:sz w:val="24"/>
        </w:rPr>
        <w:t>16</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"_Toc24633797" </w:instrText>
      </w:r>
      <w:r>
        <w:fldChar w:fldCharType="separate"/>
      </w:r>
      <w:r>
        <w:rPr>
          <w:rFonts w:hint="eastAsia" w:ascii="仿宋" w:hAnsi="仿宋" w:eastAsia="仿宋" w:cs="仿宋"/>
          <w:sz w:val="24"/>
        </w:rPr>
        <w:t>（八）绩效评价工作过程</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_Toc24633797 \h </w:instrText>
      </w:r>
      <w:r>
        <w:rPr>
          <w:rFonts w:ascii="仿宋" w:hAnsi="仿宋" w:eastAsia="仿宋" w:cs="仿宋"/>
          <w:sz w:val="24"/>
        </w:rPr>
        <w:fldChar w:fldCharType="separate"/>
      </w:r>
      <w:r>
        <w:rPr>
          <w:rFonts w:ascii="仿宋" w:hAnsi="仿宋" w:eastAsia="仿宋" w:cs="仿宋"/>
          <w:sz w:val="24"/>
        </w:rPr>
        <w:t>16</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296"/>
        </w:tabs>
        <w:spacing w:line="360" w:lineRule="auto"/>
        <w:rPr>
          <w:rFonts w:ascii="仿宋" w:hAnsi="仿宋" w:eastAsia="仿宋" w:cs="仿宋"/>
          <w:sz w:val="24"/>
        </w:rPr>
      </w:pPr>
      <w:r>
        <w:fldChar w:fldCharType="begin"/>
      </w:r>
      <w:r>
        <w:instrText xml:space="preserve"> HYPERLINK \l "_Toc24633798" </w:instrText>
      </w:r>
      <w:r>
        <w:fldChar w:fldCharType="separate"/>
      </w:r>
      <w:r>
        <w:rPr>
          <w:rFonts w:hint="eastAsia" w:ascii="仿宋" w:hAnsi="仿宋" w:eastAsia="仿宋" w:cs="仿宋"/>
          <w:sz w:val="24"/>
        </w:rPr>
        <w:t>三、评价结论及绩效评价指标分析</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_Toc24633798 \h </w:instrText>
      </w:r>
      <w:r>
        <w:rPr>
          <w:rFonts w:ascii="仿宋" w:hAnsi="仿宋" w:eastAsia="仿宋" w:cs="仿宋"/>
          <w:sz w:val="24"/>
        </w:rPr>
        <w:fldChar w:fldCharType="separate"/>
      </w:r>
      <w:r>
        <w:rPr>
          <w:rFonts w:ascii="仿宋" w:hAnsi="仿宋" w:eastAsia="仿宋" w:cs="仿宋"/>
          <w:sz w:val="24"/>
        </w:rPr>
        <w:t>18</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"_Toc24633799" </w:instrText>
      </w:r>
      <w:r>
        <w:fldChar w:fldCharType="separate"/>
      </w:r>
      <w:r>
        <w:rPr>
          <w:rFonts w:hint="eastAsia" w:ascii="仿宋" w:hAnsi="仿宋" w:eastAsia="仿宋" w:cs="仿宋"/>
          <w:sz w:val="24"/>
        </w:rPr>
        <w:t>（一）评价结论</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_Toc24633799 \h </w:instrText>
      </w:r>
      <w:r>
        <w:rPr>
          <w:rFonts w:ascii="仿宋" w:hAnsi="仿宋" w:eastAsia="仿宋" w:cs="仿宋"/>
          <w:sz w:val="24"/>
        </w:rPr>
        <w:fldChar w:fldCharType="separate"/>
      </w:r>
      <w:r>
        <w:rPr>
          <w:rFonts w:ascii="仿宋" w:hAnsi="仿宋" w:eastAsia="仿宋" w:cs="仿宋"/>
          <w:sz w:val="24"/>
        </w:rPr>
        <w:t>18</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"_Toc24633800" </w:instrText>
      </w:r>
      <w:r>
        <w:fldChar w:fldCharType="separate"/>
      </w:r>
      <w:r>
        <w:rPr>
          <w:rFonts w:hint="eastAsia" w:ascii="仿宋" w:hAnsi="仿宋" w:eastAsia="仿宋" w:cs="仿宋"/>
          <w:sz w:val="24"/>
        </w:rPr>
        <w:t>（二）绩效评价指标分析</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_Toc24633800 \h </w:instrText>
      </w:r>
      <w:r>
        <w:rPr>
          <w:rFonts w:ascii="仿宋" w:hAnsi="仿宋" w:eastAsia="仿宋" w:cs="仿宋"/>
          <w:sz w:val="24"/>
        </w:rPr>
        <w:fldChar w:fldCharType="separate"/>
      </w:r>
      <w:r>
        <w:rPr>
          <w:rFonts w:ascii="仿宋" w:hAnsi="仿宋" w:eastAsia="仿宋" w:cs="仿宋"/>
          <w:sz w:val="24"/>
        </w:rPr>
        <w:t>18</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296"/>
        </w:tabs>
        <w:spacing w:line="360" w:lineRule="auto"/>
        <w:rPr>
          <w:rFonts w:ascii="仿宋" w:hAnsi="仿宋" w:eastAsia="仿宋" w:cs="仿宋"/>
          <w:sz w:val="24"/>
        </w:rPr>
      </w:pPr>
      <w:r>
        <w:fldChar w:fldCharType="begin"/>
      </w:r>
      <w:r>
        <w:instrText xml:space="preserve"> HYPERLINK \l "_Toc24633801" </w:instrText>
      </w:r>
      <w:r>
        <w:fldChar w:fldCharType="separate"/>
      </w:r>
      <w:r>
        <w:rPr>
          <w:rFonts w:hint="eastAsia" w:ascii="仿宋" w:hAnsi="仿宋" w:eastAsia="仿宋" w:cs="仿宋"/>
          <w:sz w:val="24"/>
        </w:rPr>
        <w:t>四、绩效评价结果应用建议</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_Toc24633801 \h </w:instrText>
      </w:r>
      <w:r>
        <w:rPr>
          <w:rFonts w:ascii="仿宋" w:hAnsi="仿宋" w:eastAsia="仿宋" w:cs="仿宋"/>
          <w:sz w:val="24"/>
        </w:rPr>
        <w:fldChar w:fldCharType="separate"/>
      </w:r>
      <w:r>
        <w:rPr>
          <w:rFonts w:ascii="仿宋" w:hAnsi="仿宋" w:eastAsia="仿宋" w:cs="仿宋"/>
          <w:sz w:val="24"/>
        </w:rPr>
        <w:t>29</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"_Toc24633802" </w:instrText>
      </w:r>
      <w:r>
        <w:fldChar w:fldCharType="separate"/>
      </w:r>
      <w:r>
        <w:rPr>
          <w:rFonts w:hint="eastAsia" w:ascii="仿宋" w:hAnsi="仿宋" w:eastAsia="仿宋" w:cs="仿宋"/>
          <w:sz w:val="24"/>
        </w:rPr>
        <w:t>（一）及时公开绩效评价结果</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_Toc24633802 \h </w:instrText>
      </w:r>
      <w:r>
        <w:rPr>
          <w:rFonts w:ascii="仿宋" w:hAnsi="仿宋" w:eastAsia="仿宋" w:cs="仿宋"/>
          <w:sz w:val="24"/>
        </w:rPr>
        <w:fldChar w:fldCharType="separate"/>
      </w:r>
      <w:r>
        <w:rPr>
          <w:rFonts w:ascii="仿宋" w:hAnsi="仿宋" w:eastAsia="仿宋" w:cs="仿宋"/>
          <w:sz w:val="24"/>
        </w:rPr>
        <w:t>29</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"_Toc24633803" </w:instrText>
      </w:r>
      <w:r>
        <w:fldChar w:fldCharType="separate"/>
      </w:r>
      <w:r>
        <w:rPr>
          <w:rFonts w:hint="eastAsia" w:ascii="仿宋" w:hAnsi="仿宋" w:eastAsia="仿宋" w:cs="仿宋"/>
          <w:sz w:val="24"/>
        </w:rPr>
        <w:t>（二）加强督促，落实整改措施</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_Toc24633803 \h </w:instrText>
      </w:r>
      <w:r>
        <w:rPr>
          <w:rFonts w:ascii="仿宋" w:hAnsi="仿宋" w:eastAsia="仿宋" w:cs="仿宋"/>
          <w:sz w:val="24"/>
        </w:rPr>
        <w:fldChar w:fldCharType="separate"/>
      </w:r>
      <w:r>
        <w:rPr>
          <w:rFonts w:ascii="仿宋" w:hAnsi="仿宋" w:eastAsia="仿宋" w:cs="仿宋"/>
          <w:sz w:val="24"/>
        </w:rPr>
        <w:t>29</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"_Toc24633804" </w:instrText>
      </w:r>
      <w:r>
        <w:fldChar w:fldCharType="separate"/>
      </w:r>
      <w:r>
        <w:rPr>
          <w:rFonts w:hint="eastAsia" w:ascii="仿宋" w:hAnsi="仿宋" w:eastAsia="仿宋" w:cs="仿宋"/>
          <w:sz w:val="24"/>
        </w:rPr>
        <w:t>（三）强化评价结果应用</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_Toc24633804 \h </w:instrText>
      </w:r>
      <w:r>
        <w:rPr>
          <w:rFonts w:ascii="仿宋" w:hAnsi="仿宋" w:eastAsia="仿宋" w:cs="仿宋"/>
          <w:sz w:val="24"/>
        </w:rPr>
        <w:fldChar w:fldCharType="separate"/>
      </w:r>
      <w:r>
        <w:rPr>
          <w:rFonts w:ascii="仿宋" w:hAnsi="仿宋" w:eastAsia="仿宋" w:cs="仿宋"/>
          <w:sz w:val="24"/>
        </w:rPr>
        <w:t>29</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"_Toc24633805" </w:instrText>
      </w:r>
      <w:r>
        <w:fldChar w:fldCharType="separate"/>
      </w:r>
      <w:r>
        <w:rPr>
          <w:rFonts w:hint="eastAsia" w:ascii="仿宋" w:hAnsi="仿宋" w:eastAsia="仿宋" w:cs="仿宋"/>
          <w:sz w:val="24"/>
        </w:rPr>
        <w:t>（四）提高绩效评价认识</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_Toc24633805 \h </w:instrText>
      </w:r>
      <w:r>
        <w:rPr>
          <w:rFonts w:ascii="仿宋" w:hAnsi="仿宋" w:eastAsia="仿宋" w:cs="仿宋"/>
          <w:sz w:val="24"/>
        </w:rPr>
        <w:fldChar w:fldCharType="separate"/>
      </w:r>
      <w:r>
        <w:rPr>
          <w:rFonts w:ascii="仿宋" w:hAnsi="仿宋" w:eastAsia="仿宋" w:cs="仿宋"/>
          <w:sz w:val="24"/>
        </w:rPr>
        <w:t>29</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296"/>
        </w:tabs>
        <w:spacing w:line="360" w:lineRule="auto"/>
        <w:rPr>
          <w:rFonts w:ascii="仿宋" w:hAnsi="仿宋" w:eastAsia="仿宋" w:cs="仿宋"/>
          <w:sz w:val="24"/>
        </w:rPr>
      </w:pPr>
      <w:r>
        <w:fldChar w:fldCharType="begin"/>
      </w:r>
      <w:r>
        <w:instrText xml:space="preserve"> HYPERLINK \l "_Toc24633806" </w:instrText>
      </w:r>
      <w:r>
        <w:fldChar w:fldCharType="separate"/>
      </w:r>
      <w:r>
        <w:rPr>
          <w:rFonts w:hint="eastAsia" w:ascii="仿宋" w:hAnsi="仿宋" w:eastAsia="仿宋" w:cs="仿宋"/>
          <w:sz w:val="24"/>
        </w:rPr>
        <w:t>五、主要经验及做法、存在的问题、建议</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_Toc24633806 \h </w:instrText>
      </w:r>
      <w:r>
        <w:rPr>
          <w:rFonts w:ascii="仿宋" w:hAnsi="仿宋" w:eastAsia="仿宋" w:cs="仿宋"/>
          <w:sz w:val="24"/>
        </w:rPr>
        <w:fldChar w:fldCharType="separate"/>
      </w:r>
      <w:r>
        <w:rPr>
          <w:rFonts w:ascii="仿宋" w:hAnsi="仿宋" w:eastAsia="仿宋" w:cs="仿宋"/>
          <w:sz w:val="24"/>
        </w:rPr>
        <w:t>29</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"_Toc24633807" </w:instrText>
      </w:r>
      <w:r>
        <w:fldChar w:fldCharType="separate"/>
      </w:r>
      <w:r>
        <w:rPr>
          <w:rFonts w:hint="eastAsia" w:ascii="仿宋" w:hAnsi="仿宋" w:eastAsia="仿宋" w:cs="仿宋"/>
          <w:sz w:val="24"/>
        </w:rPr>
        <w:t>（一）主要经验及做法</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_Toc24633807 \h </w:instrText>
      </w:r>
      <w:r>
        <w:rPr>
          <w:rFonts w:ascii="仿宋" w:hAnsi="仿宋" w:eastAsia="仿宋" w:cs="仿宋"/>
          <w:sz w:val="24"/>
        </w:rPr>
        <w:fldChar w:fldCharType="separate"/>
      </w:r>
      <w:r>
        <w:rPr>
          <w:rFonts w:ascii="仿宋" w:hAnsi="仿宋" w:eastAsia="仿宋" w:cs="仿宋"/>
          <w:sz w:val="24"/>
        </w:rPr>
        <w:t>29</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306"/>
        </w:tabs>
        <w:spacing w:line="360" w:lineRule="auto"/>
        <w:rPr>
          <w:rFonts w:ascii="仿宋" w:hAnsi="仿宋" w:eastAsia="仿宋" w:cs="仿宋"/>
          <w:sz w:val="24"/>
        </w:rPr>
      </w:pPr>
      <w:r>
        <w:fldChar w:fldCharType="begin"/>
      </w:r>
      <w:r>
        <w:instrText xml:space="preserve"> HYPERLINK \l "_Toc24633808" </w:instrText>
      </w:r>
      <w:r>
        <w:fldChar w:fldCharType="separate"/>
      </w:r>
      <w:r>
        <w:rPr>
          <w:rFonts w:hint="eastAsia" w:ascii="仿宋" w:hAnsi="仿宋" w:eastAsia="仿宋" w:cs="仿宋"/>
          <w:sz w:val="24"/>
        </w:rPr>
        <w:t>（二）存在的问题</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_Toc24633808 \h </w:instrText>
      </w:r>
      <w:r>
        <w:rPr>
          <w:rFonts w:ascii="仿宋" w:hAnsi="仿宋" w:eastAsia="仿宋" w:cs="仿宋"/>
          <w:sz w:val="24"/>
        </w:rPr>
        <w:fldChar w:fldCharType="separate"/>
      </w:r>
      <w:r>
        <w:rPr>
          <w:rFonts w:ascii="仿宋" w:hAnsi="仿宋" w:eastAsia="仿宋" w:cs="仿宋"/>
          <w:sz w:val="24"/>
        </w:rPr>
        <w:t>30</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296"/>
        </w:tabs>
        <w:spacing w:line="360" w:lineRule="auto"/>
        <w:rPr>
          <w:rFonts w:ascii="仿宋" w:hAnsi="仿宋" w:eastAsia="仿宋" w:cs="仿宋"/>
          <w:sz w:val="24"/>
        </w:rPr>
      </w:pPr>
      <w:r>
        <w:fldChar w:fldCharType="begin"/>
      </w:r>
      <w:r>
        <w:instrText xml:space="preserve"> HYPERLINK \l "_Toc24633809" </w:instrText>
      </w:r>
      <w:r>
        <w:fldChar w:fldCharType="separate"/>
      </w:r>
      <w:r>
        <w:rPr>
          <w:rFonts w:hint="eastAsia" w:ascii="仿宋" w:hAnsi="仿宋" w:eastAsia="仿宋" w:cs="仿宋"/>
          <w:sz w:val="24"/>
        </w:rPr>
        <w:t>（三）建议</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_Toc24633809 \h </w:instrText>
      </w:r>
      <w:r>
        <w:rPr>
          <w:rFonts w:ascii="仿宋" w:hAnsi="仿宋" w:eastAsia="仿宋" w:cs="仿宋"/>
          <w:sz w:val="24"/>
        </w:rPr>
        <w:fldChar w:fldCharType="separate"/>
      </w:r>
      <w:r>
        <w:rPr>
          <w:rFonts w:ascii="仿宋" w:hAnsi="仿宋" w:eastAsia="仿宋" w:cs="仿宋"/>
          <w:sz w:val="24"/>
        </w:rPr>
        <w:t>31</w:t>
      </w:r>
      <w:r>
        <w:rPr>
          <w:rFonts w:ascii="仿宋" w:hAnsi="仿宋" w:eastAsia="仿宋" w:cs="仿宋"/>
          <w:sz w:val="24"/>
        </w:rPr>
        <w:fldChar w:fldCharType="end"/>
      </w:r>
      <w:r>
        <w:rPr>
          <w:rFonts w:ascii="仿宋" w:hAnsi="仿宋" w:eastAsia="仿宋" w:cs="仿宋"/>
          <w:sz w:val="24"/>
        </w:rPr>
        <w:fldChar w:fldCharType="end"/>
      </w:r>
      <w:r>
        <w:fldChar w:fldCharType="begin"/>
      </w:r>
      <w:r>
        <w:instrText xml:space="preserve"> HYPERLINK \l "_Toc24633810" </w:instrText>
      </w:r>
      <w:r>
        <w:fldChar w:fldCharType="separate"/>
      </w:r>
      <w:r>
        <w:fldChar w:fldCharType="end"/>
      </w:r>
    </w:p>
    <w:p>
      <w:pPr>
        <w:pStyle w:val="11"/>
        <w:tabs>
          <w:tab w:val="right" w:leader="dot" w:pos="8296"/>
        </w:tabs>
        <w:spacing w:line="360" w:lineRule="auto"/>
        <w:rPr>
          <w:rFonts w:ascii="仿宋" w:hAnsi="仿宋" w:eastAsia="仿宋" w:cs="仿宋"/>
          <w:sz w:val="24"/>
        </w:rPr>
      </w:pPr>
      <w:r>
        <w:fldChar w:fldCharType="begin"/>
      </w:r>
      <w:r>
        <w:instrText xml:space="preserve"> HYPERLINK \l "_Toc24633811" </w:instrText>
      </w:r>
      <w:r>
        <w:fldChar w:fldCharType="separate"/>
      </w:r>
      <w:r>
        <w:rPr>
          <w:rFonts w:hint="eastAsia" w:ascii="仿宋" w:hAnsi="仿宋" w:eastAsia="仿宋" w:cs="仿宋"/>
          <w:sz w:val="24"/>
        </w:rPr>
        <w:t>附件</w:t>
      </w:r>
      <w:r>
        <w:rPr>
          <w:rFonts w:ascii="仿宋" w:hAnsi="仿宋" w:eastAsia="仿宋" w:cs="仿宋"/>
          <w:sz w:val="24"/>
        </w:rPr>
        <w:t>1</w:t>
      </w:r>
      <w:r>
        <w:rPr>
          <w:rFonts w:hint="eastAsia" w:ascii="仿宋" w:hAnsi="仿宋" w:eastAsia="仿宋" w:cs="仿宋"/>
          <w:sz w:val="24"/>
        </w:rPr>
        <w:t>：绩效评价指标评分表</w:t>
      </w:r>
      <w:r>
        <w:rPr>
          <w:rFonts w:ascii="仿宋" w:hAnsi="仿宋" w:eastAsia="仿宋" w:cs="仿宋"/>
          <w:sz w:val="24"/>
        </w:rPr>
        <w:tab/>
      </w:r>
      <w:r>
        <w:rPr>
          <w:rFonts w:hint="eastAsia" w:ascii="仿宋" w:hAnsi="仿宋" w:eastAsia="仿宋" w:cs="仿宋"/>
          <w:sz w:val="24"/>
        </w:rPr>
        <w:t>33</w:t>
      </w:r>
      <w:r>
        <w:rPr>
          <w:rFonts w:hint="eastAsia" w:ascii="仿宋" w:hAnsi="仿宋" w:eastAsia="仿宋" w:cs="仿宋"/>
          <w:sz w:val="24"/>
        </w:rPr>
        <w:fldChar w:fldCharType="end"/>
      </w:r>
    </w:p>
    <w:p>
      <w:pPr>
        <w:pStyle w:val="11"/>
        <w:tabs>
          <w:tab w:val="right" w:leader="dot" w:pos="8296"/>
        </w:tabs>
        <w:spacing w:line="360" w:lineRule="auto"/>
        <w:rPr>
          <w:rFonts w:ascii="仿宋" w:hAnsi="仿宋" w:eastAsia="仿宋" w:cs="仿宋"/>
          <w:sz w:val="24"/>
        </w:rPr>
      </w:pPr>
      <w:r>
        <w:fldChar w:fldCharType="begin"/>
      </w:r>
      <w:r>
        <w:instrText xml:space="preserve"> HYPERLINK \l "_Toc24633811" </w:instrText>
      </w:r>
      <w:r>
        <w:fldChar w:fldCharType="separate"/>
      </w:r>
      <w:r>
        <w:rPr>
          <w:rFonts w:hint="eastAsia" w:ascii="仿宋" w:hAnsi="仿宋" w:eastAsia="仿宋" w:cs="仿宋"/>
          <w:sz w:val="24"/>
        </w:rPr>
        <w:t>附件2：绩效评价指标体系</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_Toc24633811 \h </w:instrText>
      </w:r>
      <w:r>
        <w:rPr>
          <w:rFonts w:ascii="仿宋" w:hAnsi="仿宋" w:eastAsia="仿宋" w:cs="仿宋"/>
          <w:sz w:val="24"/>
        </w:rPr>
        <w:fldChar w:fldCharType="separate"/>
      </w:r>
      <w:r>
        <w:rPr>
          <w:rFonts w:ascii="仿宋" w:hAnsi="仿宋" w:eastAsia="仿宋" w:cs="仿宋"/>
          <w:sz w:val="24"/>
        </w:rPr>
        <w:t>34</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"_Toc24633812" </w:instrText>
      </w:r>
      <w:r>
        <w:fldChar w:fldCharType="separate"/>
      </w:r>
      <w:r>
        <w:rPr>
          <w:rFonts w:hint="eastAsia" w:ascii="仿宋" w:hAnsi="仿宋" w:eastAsia="仿宋" w:cs="仿宋"/>
          <w:sz w:val="24"/>
        </w:rPr>
        <w:t>附件3：南山生态修复荒滩绿化项目满意度问卷调查报告</w:t>
      </w:r>
      <w:r>
        <w:rPr>
          <w:rFonts w:ascii="仿宋" w:hAnsi="仿宋" w:eastAsia="仿宋" w:cs="仿宋"/>
          <w:sz w:val="24"/>
        </w:rPr>
        <w:tab/>
      </w:r>
      <w:r>
        <w:rPr>
          <w:rFonts w:ascii="仿宋" w:hAnsi="仿宋" w:eastAsia="仿宋" w:cs="仿宋"/>
          <w:sz w:val="24"/>
        </w:rPr>
        <w:fldChar w:fldCharType="begin"/>
      </w:r>
      <w:r>
        <w:rPr>
          <w:rFonts w:ascii="仿宋" w:hAnsi="仿宋" w:eastAsia="仿宋" w:cs="仿宋"/>
          <w:sz w:val="24"/>
        </w:rPr>
        <w:instrText xml:space="preserve"> PAGEREF _Toc24633812 \h </w:instrText>
      </w:r>
      <w:r>
        <w:rPr>
          <w:rFonts w:ascii="仿宋" w:hAnsi="仿宋" w:eastAsia="仿宋" w:cs="仿宋"/>
          <w:sz w:val="24"/>
        </w:rPr>
        <w:fldChar w:fldCharType="separate"/>
      </w:r>
      <w:r>
        <w:rPr>
          <w:rFonts w:ascii="仿宋" w:hAnsi="仿宋" w:eastAsia="仿宋" w:cs="仿宋"/>
          <w:sz w:val="24"/>
        </w:rPr>
        <w:t>37</w:t>
      </w:r>
      <w:r>
        <w:rPr>
          <w:rFonts w:ascii="仿宋" w:hAnsi="仿宋" w:eastAsia="仿宋" w:cs="仿宋"/>
          <w:sz w:val="24"/>
        </w:rPr>
        <w:fldChar w:fldCharType="end"/>
      </w:r>
      <w:r>
        <w:rPr>
          <w:rFonts w:ascii="仿宋" w:hAnsi="仿宋" w:eastAsia="仿宋" w:cs="仿宋"/>
          <w:sz w:val="24"/>
        </w:rPr>
        <w:fldChar w:fldCharType="end"/>
      </w:r>
    </w:p>
    <w:p>
      <w:pPr>
        <w:pStyle w:val="11"/>
        <w:tabs>
          <w:tab w:val="right" w:leader="dot" w:pos="8296"/>
        </w:tabs>
        <w:sectPr>
          <w:footerReference r:id="rId7" w:type="default"/>
          <w:pgSz w:w="11906" w:h="16838"/>
          <w:pgMar w:top="1440" w:right="1800" w:bottom="1440" w:left="1800" w:header="851" w:footer="992" w:gutter="0"/>
          <w:cols w:space="425" w:num="1"/>
          <w:titlePg/>
          <w:docGrid w:type="lines" w:linePitch="312" w:charSpace="0"/>
        </w:sectPr>
      </w:pPr>
      <w:r>
        <w:rPr>
          <w:rFonts w:ascii="??_GB2312" w:hAnsi="宋体" w:eastAsia="Times New Roman"/>
          <w:bCs/>
          <w:sz w:val="24"/>
        </w:rPr>
        <w:fldChar w:fldCharType="end"/>
      </w:r>
    </w:p>
    <w:p>
      <w:pPr>
        <w:pStyle w:val="35"/>
        <w:spacing w:line="360" w:lineRule="auto"/>
        <w:outlineLvl w:val="9"/>
        <w:rPr>
          <w:rFonts w:ascii="仿宋" w:hAnsi="仿宋" w:eastAsia="仿宋" w:cs="仿宋"/>
          <w:sz w:val="36"/>
          <w:szCs w:val="36"/>
        </w:rPr>
      </w:pPr>
      <w:bookmarkStart w:id="0" w:name="_Toc24633784"/>
    </w:p>
    <w:p>
      <w:pPr>
        <w:pStyle w:val="35"/>
        <w:spacing w:line="360" w:lineRule="auto"/>
        <w:outlineLvl w:val="9"/>
        <w:rPr>
          <w:rFonts w:ascii="仿宋" w:hAnsi="仿宋" w:eastAsia="仿宋" w:cs="仿宋"/>
          <w:sz w:val="36"/>
          <w:szCs w:val="36"/>
        </w:rPr>
      </w:pPr>
      <w:r>
        <w:rPr>
          <w:rFonts w:hint="eastAsia" w:ascii="仿宋" w:hAnsi="仿宋" w:eastAsia="仿宋" w:cs="仿宋"/>
          <w:sz w:val="36"/>
          <w:szCs w:val="36"/>
        </w:rPr>
        <w:t>摘</w:t>
      </w:r>
      <w:r>
        <w:rPr>
          <w:rFonts w:ascii="仿宋" w:hAnsi="仿宋" w:eastAsia="仿宋" w:cs="仿宋"/>
          <w:sz w:val="36"/>
          <w:szCs w:val="36"/>
        </w:rPr>
        <w:t xml:space="preserve"> </w:t>
      </w:r>
      <w:r>
        <w:rPr>
          <w:rFonts w:hint="eastAsia" w:ascii="仿宋" w:hAnsi="仿宋" w:eastAsia="仿宋" w:cs="仿宋"/>
          <w:sz w:val="36"/>
          <w:szCs w:val="36"/>
        </w:rPr>
        <w:t>要</w:t>
      </w:r>
      <w:bookmarkEnd w:id="0"/>
    </w:p>
    <w:p>
      <w:pPr>
        <w:spacing w:line="360" w:lineRule="auto"/>
        <w:ind w:firstLine="602" w:firstLineChars="200"/>
        <w:rPr>
          <w:rFonts w:ascii="仿宋" w:hAnsi="仿宋" w:eastAsia="仿宋" w:cs="仿宋"/>
          <w:b/>
          <w:bCs/>
          <w:color w:val="000000"/>
          <w:sz w:val="30"/>
          <w:szCs w:val="30"/>
        </w:rPr>
      </w:pPr>
      <w:r>
        <w:rPr>
          <w:rFonts w:hint="eastAsia" w:ascii="仿宋" w:hAnsi="仿宋" w:eastAsia="仿宋" w:cs="仿宋"/>
          <w:b/>
          <w:bCs/>
          <w:color w:val="000000"/>
          <w:sz w:val="30"/>
          <w:szCs w:val="30"/>
        </w:rPr>
        <w:t>一、概述</w:t>
      </w:r>
    </w:p>
    <w:p>
      <w:pPr>
        <w:spacing w:line="600" w:lineRule="exact"/>
        <w:ind w:firstLine="600" w:firstLineChars="200"/>
        <w:rPr>
          <w:rFonts w:ascii="仿宋" w:hAnsi="仿宋" w:eastAsia="仿宋" w:cs="仿宋"/>
          <w:kern w:val="0"/>
          <w:sz w:val="30"/>
          <w:szCs w:val="30"/>
        </w:rPr>
      </w:pPr>
      <w:r>
        <w:rPr>
          <w:rFonts w:ascii="仿宋" w:hAnsi="仿宋" w:eastAsia="仿宋" w:cs="仿宋"/>
          <w:kern w:val="0"/>
          <w:sz w:val="30"/>
          <w:szCs w:val="30"/>
        </w:rPr>
        <w:t>财政专项资金绩效评价是对经过有关部门批准立项，由财政资金全部投资或部分投资的项目，运用一定的指标、方法，对财政专项支出项目所确定的绩效目标、资金使用情况和效益情况等进行综合考评。</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南山区域生态修复是运城市历史上生态修复最弱的一个点，南山风大干旱，土薄石多，是运城市生态环境最弱的区域，同时也是最难造林的区域，更是运城市现代生态林业发展的瓶颈。</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开展运城市南山生态修复及绿化提升项目，是践行习近平总书记的</w:t>
      </w:r>
      <w:r>
        <w:rPr>
          <w:rFonts w:ascii="仿宋" w:hAnsi="仿宋" w:eastAsia="仿宋" w:cs="仿宋"/>
          <w:kern w:val="0"/>
          <w:sz w:val="30"/>
          <w:szCs w:val="30"/>
        </w:rPr>
        <w:t>“</w:t>
      </w:r>
      <w:r>
        <w:rPr>
          <w:rFonts w:hint="eastAsia" w:ascii="仿宋" w:hAnsi="仿宋" w:eastAsia="仿宋" w:cs="仿宋"/>
          <w:kern w:val="0"/>
          <w:sz w:val="30"/>
          <w:szCs w:val="30"/>
        </w:rPr>
        <w:t>绿水青山就是金山银山</w:t>
      </w:r>
      <w:r>
        <w:rPr>
          <w:rFonts w:ascii="仿宋" w:hAnsi="仿宋" w:eastAsia="仿宋" w:cs="仿宋"/>
          <w:kern w:val="0"/>
          <w:sz w:val="30"/>
          <w:szCs w:val="30"/>
        </w:rPr>
        <w:t>”</w:t>
      </w:r>
      <w:r>
        <w:rPr>
          <w:rFonts w:hint="eastAsia" w:ascii="仿宋" w:hAnsi="仿宋" w:eastAsia="仿宋" w:cs="仿宋"/>
          <w:kern w:val="0"/>
          <w:sz w:val="30"/>
          <w:szCs w:val="30"/>
        </w:rPr>
        <w:t>科学论断的有益尝试，是落实</w:t>
      </w:r>
      <w:r>
        <w:rPr>
          <w:rFonts w:ascii="仿宋" w:hAnsi="仿宋" w:eastAsia="仿宋" w:cs="仿宋"/>
          <w:kern w:val="0"/>
          <w:sz w:val="30"/>
          <w:szCs w:val="30"/>
        </w:rPr>
        <w:t>“</w:t>
      </w:r>
      <w:r>
        <w:rPr>
          <w:rFonts w:hint="eastAsia" w:ascii="仿宋" w:hAnsi="仿宋" w:eastAsia="仿宋" w:cs="仿宋"/>
          <w:kern w:val="0"/>
          <w:sz w:val="30"/>
          <w:szCs w:val="30"/>
        </w:rPr>
        <w:t>山水林田湖草生命共同体综合治理</w:t>
      </w:r>
      <w:r>
        <w:rPr>
          <w:rFonts w:ascii="仿宋" w:hAnsi="仿宋" w:eastAsia="仿宋" w:cs="仿宋"/>
          <w:kern w:val="0"/>
          <w:sz w:val="30"/>
          <w:szCs w:val="30"/>
        </w:rPr>
        <w:t>”</w:t>
      </w:r>
      <w:r>
        <w:rPr>
          <w:rFonts w:hint="eastAsia" w:ascii="仿宋" w:hAnsi="仿宋" w:eastAsia="仿宋" w:cs="仿宋"/>
          <w:kern w:val="0"/>
          <w:sz w:val="30"/>
          <w:szCs w:val="30"/>
        </w:rPr>
        <w:t>的重要举措。南山盐湖区域生态修复及绿化提升工程更是贯彻习</w:t>
      </w:r>
      <w:r>
        <w:rPr>
          <w:rFonts w:hint="eastAsia" w:ascii="仿宋" w:hAnsi="仿宋" w:eastAsia="仿宋" w:cs="仿宋"/>
          <w:kern w:val="0"/>
          <w:sz w:val="30"/>
          <w:szCs w:val="30"/>
          <w:lang w:val="en-US" w:eastAsia="zh-CN"/>
        </w:rPr>
        <w:t>近平</w:t>
      </w:r>
      <w:r>
        <w:rPr>
          <w:rFonts w:hint="eastAsia" w:ascii="仿宋" w:hAnsi="仿宋" w:eastAsia="仿宋" w:cs="仿宋"/>
          <w:kern w:val="0"/>
          <w:sz w:val="30"/>
          <w:szCs w:val="30"/>
        </w:rPr>
        <w:t>总书记</w:t>
      </w:r>
      <w:r>
        <w:rPr>
          <w:rFonts w:ascii="仿宋" w:hAnsi="仿宋" w:eastAsia="仿宋" w:cs="仿宋"/>
          <w:kern w:val="0"/>
          <w:sz w:val="30"/>
          <w:szCs w:val="30"/>
        </w:rPr>
        <w:t>“</w:t>
      </w:r>
      <w:r>
        <w:rPr>
          <w:rFonts w:hint="eastAsia" w:ascii="仿宋" w:hAnsi="仿宋" w:eastAsia="仿宋" w:cs="仿宋"/>
          <w:kern w:val="0"/>
          <w:sz w:val="30"/>
          <w:szCs w:val="30"/>
        </w:rPr>
        <w:t>四个着力</w:t>
      </w:r>
      <w:r>
        <w:rPr>
          <w:rFonts w:ascii="仿宋" w:hAnsi="仿宋" w:eastAsia="仿宋" w:cs="仿宋"/>
          <w:kern w:val="0"/>
          <w:sz w:val="30"/>
          <w:szCs w:val="30"/>
        </w:rPr>
        <w:t>”</w:t>
      </w:r>
      <w:r>
        <w:rPr>
          <w:rFonts w:hint="eastAsia" w:ascii="仿宋" w:hAnsi="仿宋" w:eastAsia="仿宋" w:cs="仿宋"/>
          <w:kern w:val="0"/>
          <w:sz w:val="30"/>
          <w:szCs w:val="30"/>
        </w:rPr>
        <w:t>要求--着力创建国家森林城市的重要节点，塑造表里山河生态美好、壮美形象的重点工程，更是提升运城市民生活环境质量的重要抓手。该工程是近几年运城最大的民生工程、生态工程、保护工程，是生态文明建设的重点和标志性工程，更是运城市人民为运城市政府点赞的工程。</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2017年6月，运城市盐湖生态保护与开发中心委托国家林产工业规划设计院编制了《运城市南山生态修复及绿化提升项目(一期)可行性研究报告》，运城市发展和改革委员会与运城市林业局组织有关专家和部门对该项目的可研报告进行了评审，结合市林业局、市旅发委的初审意见同意该项目的实施。</w:t>
      </w:r>
    </w:p>
    <w:p>
      <w:pPr>
        <w:spacing w:line="600" w:lineRule="exact"/>
        <w:ind w:firstLine="600" w:firstLineChars="200"/>
        <w:rPr>
          <w:rFonts w:ascii="仿宋" w:hAnsi="仿宋" w:eastAsia="仿宋" w:cs="仿宋"/>
          <w:kern w:val="0"/>
          <w:sz w:val="30"/>
          <w:szCs w:val="30"/>
        </w:rPr>
      </w:pPr>
      <w:r>
        <w:rPr>
          <w:rFonts w:ascii="仿宋" w:hAnsi="仿宋" w:eastAsia="仿宋" w:cs="仿宋"/>
          <w:kern w:val="0"/>
          <w:sz w:val="30"/>
          <w:szCs w:val="30"/>
        </w:rPr>
        <w:t>为科学、客观、全面、规范地评价专项资金使用绩效，检视政策实施效果，总结存在问题，提供完善政策、规范管理、提升资金使用绩效的对策建议，运城黄河会计师事务所有限公司接受运城市财政局委托,于20</w:t>
      </w:r>
      <w:r>
        <w:rPr>
          <w:rFonts w:hint="eastAsia" w:ascii="仿宋" w:hAnsi="仿宋" w:eastAsia="仿宋" w:cs="仿宋"/>
          <w:kern w:val="0"/>
          <w:sz w:val="30"/>
          <w:szCs w:val="30"/>
        </w:rPr>
        <w:t>20</w:t>
      </w:r>
      <w:r>
        <w:rPr>
          <w:rFonts w:ascii="仿宋" w:hAnsi="仿宋" w:eastAsia="仿宋" w:cs="仿宋"/>
          <w:kern w:val="0"/>
          <w:sz w:val="30"/>
          <w:szCs w:val="30"/>
        </w:rPr>
        <w:t>年</w:t>
      </w:r>
      <w:r>
        <w:rPr>
          <w:rFonts w:hint="eastAsia" w:ascii="仿宋" w:hAnsi="仿宋" w:eastAsia="仿宋" w:cs="仿宋"/>
          <w:kern w:val="0"/>
          <w:sz w:val="30"/>
          <w:szCs w:val="30"/>
        </w:rPr>
        <w:t>8</w:t>
      </w:r>
      <w:r>
        <w:rPr>
          <w:rFonts w:ascii="仿宋" w:hAnsi="仿宋" w:eastAsia="仿宋" w:cs="仿宋"/>
          <w:kern w:val="0"/>
          <w:sz w:val="30"/>
          <w:szCs w:val="30"/>
        </w:rPr>
        <w:t>月</w:t>
      </w:r>
      <w:r>
        <w:rPr>
          <w:rFonts w:hint="eastAsia" w:ascii="仿宋" w:hAnsi="仿宋" w:eastAsia="仿宋" w:cs="仿宋"/>
          <w:kern w:val="0"/>
          <w:sz w:val="30"/>
          <w:szCs w:val="30"/>
        </w:rPr>
        <w:t>16</w:t>
      </w:r>
      <w:r>
        <w:rPr>
          <w:rFonts w:ascii="仿宋" w:hAnsi="仿宋" w:eastAsia="仿宋" w:cs="仿宋"/>
          <w:kern w:val="0"/>
          <w:sz w:val="30"/>
          <w:szCs w:val="30"/>
        </w:rPr>
        <w:t>日至20</w:t>
      </w:r>
      <w:r>
        <w:rPr>
          <w:rFonts w:hint="eastAsia" w:ascii="仿宋" w:hAnsi="仿宋" w:eastAsia="仿宋" w:cs="仿宋"/>
          <w:kern w:val="0"/>
          <w:sz w:val="30"/>
          <w:szCs w:val="30"/>
        </w:rPr>
        <w:t>20</w:t>
      </w:r>
      <w:r>
        <w:rPr>
          <w:rFonts w:ascii="仿宋" w:hAnsi="仿宋" w:eastAsia="仿宋" w:cs="仿宋"/>
          <w:kern w:val="0"/>
          <w:sz w:val="30"/>
          <w:szCs w:val="30"/>
        </w:rPr>
        <w:t>年</w:t>
      </w:r>
      <w:r>
        <w:rPr>
          <w:rFonts w:hint="eastAsia" w:ascii="仿宋" w:hAnsi="仿宋" w:eastAsia="仿宋" w:cs="仿宋"/>
          <w:kern w:val="0"/>
          <w:sz w:val="30"/>
          <w:szCs w:val="30"/>
        </w:rPr>
        <w:t>9</w:t>
      </w:r>
      <w:r>
        <w:rPr>
          <w:rFonts w:ascii="仿宋" w:hAnsi="仿宋" w:eastAsia="仿宋" w:cs="仿宋"/>
          <w:kern w:val="0"/>
          <w:sz w:val="30"/>
          <w:szCs w:val="30"/>
        </w:rPr>
        <w:t>月</w:t>
      </w:r>
      <w:r>
        <w:rPr>
          <w:rFonts w:hint="eastAsia" w:ascii="仿宋" w:hAnsi="仿宋" w:eastAsia="仿宋" w:cs="仿宋"/>
          <w:kern w:val="0"/>
          <w:sz w:val="30"/>
          <w:szCs w:val="30"/>
        </w:rPr>
        <w:t>30</w:t>
      </w:r>
      <w:r>
        <w:rPr>
          <w:rFonts w:ascii="仿宋" w:hAnsi="仿宋" w:eastAsia="仿宋" w:cs="仿宋"/>
          <w:kern w:val="0"/>
          <w:sz w:val="30"/>
          <w:szCs w:val="30"/>
        </w:rPr>
        <w:t>日对</w:t>
      </w:r>
      <w:r>
        <w:rPr>
          <w:rFonts w:hint="eastAsia" w:ascii="仿宋" w:hAnsi="仿宋" w:eastAsia="仿宋" w:cs="仿宋"/>
          <w:kern w:val="0"/>
          <w:sz w:val="30"/>
          <w:szCs w:val="30"/>
        </w:rPr>
        <w:t>南山生态修复荒滩绿化项目</w:t>
      </w:r>
      <w:r>
        <w:rPr>
          <w:rFonts w:ascii="仿宋" w:hAnsi="仿宋" w:eastAsia="仿宋" w:cs="仿宋"/>
          <w:kern w:val="0"/>
          <w:sz w:val="30"/>
          <w:szCs w:val="30"/>
        </w:rPr>
        <w:t>进行了绩效评价。在评价过程中，我们遵循“科学</w:t>
      </w:r>
      <w:r>
        <w:rPr>
          <w:rFonts w:hint="eastAsia" w:ascii="仿宋" w:hAnsi="仿宋" w:eastAsia="仿宋" w:cs="仿宋"/>
          <w:kern w:val="0"/>
          <w:sz w:val="30"/>
          <w:szCs w:val="30"/>
        </w:rPr>
        <w:t>公正</w:t>
      </w:r>
      <w:r>
        <w:rPr>
          <w:rFonts w:ascii="仿宋" w:hAnsi="仿宋" w:eastAsia="仿宋" w:cs="仿宋"/>
          <w:kern w:val="0"/>
          <w:sz w:val="30"/>
          <w:szCs w:val="30"/>
        </w:rPr>
        <w:t>、</w:t>
      </w:r>
      <w:r>
        <w:rPr>
          <w:rFonts w:hint="eastAsia" w:ascii="仿宋" w:hAnsi="仿宋" w:eastAsia="仿宋" w:cs="仿宋"/>
          <w:kern w:val="0"/>
          <w:sz w:val="30"/>
          <w:szCs w:val="30"/>
        </w:rPr>
        <w:t>统筹兼顾</w:t>
      </w:r>
      <w:r>
        <w:rPr>
          <w:rFonts w:ascii="仿宋" w:hAnsi="仿宋" w:eastAsia="仿宋" w:cs="仿宋"/>
          <w:kern w:val="0"/>
          <w:sz w:val="30"/>
          <w:szCs w:val="30"/>
        </w:rPr>
        <w:t>、</w:t>
      </w:r>
      <w:r>
        <w:rPr>
          <w:rFonts w:hint="eastAsia" w:ascii="仿宋" w:hAnsi="仿宋" w:eastAsia="仿宋" w:cs="仿宋"/>
          <w:kern w:val="0"/>
          <w:sz w:val="30"/>
          <w:szCs w:val="30"/>
        </w:rPr>
        <w:t>激励约束</w:t>
      </w:r>
      <w:r>
        <w:rPr>
          <w:rFonts w:ascii="仿宋" w:hAnsi="仿宋" w:eastAsia="仿宋" w:cs="仿宋"/>
          <w:kern w:val="0"/>
          <w:sz w:val="30"/>
          <w:szCs w:val="30"/>
        </w:rPr>
        <w:t>、</w:t>
      </w:r>
      <w:r>
        <w:rPr>
          <w:rFonts w:hint="eastAsia" w:ascii="仿宋" w:hAnsi="仿宋" w:eastAsia="仿宋" w:cs="仿宋"/>
          <w:kern w:val="0"/>
          <w:sz w:val="30"/>
          <w:szCs w:val="30"/>
        </w:rPr>
        <w:t>公开透明</w:t>
      </w:r>
      <w:r>
        <w:rPr>
          <w:rFonts w:ascii="仿宋" w:hAnsi="仿宋" w:eastAsia="仿宋" w:cs="仿宋"/>
          <w:kern w:val="0"/>
          <w:sz w:val="30"/>
          <w:szCs w:val="30"/>
        </w:rPr>
        <w:t>”的原则，采用目标预定与实施效果比较、定性与定量综合分析、信息技术和统计学支撑，按项目属地分类和评价指标分析，以及书面评审、现场核查及满意度问卷调查相结合等评价方法，对</w:t>
      </w:r>
      <w:r>
        <w:rPr>
          <w:rFonts w:hint="eastAsia" w:ascii="仿宋" w:hAnsi="仿宋" w:eastAsia="仿宋" w:cs="仿宋"/>
          <w:kern w:val="0"/>
          <w:sz w:val="30"/>
          <w:szCs w:val="30"/>
        </w:rPr>
        <w:t>报备、</w:t>
      </w:r>
      <w:r>
        <w:rPr>
          <w:rFonts w:ascii="仿宋" w:hAnsi="仿宋" w:eastAsia="仿宋" w:cs="仿宋"/>
          <w:kern w:val="0"/>
          <w:sz w:val="30"/>
          <w:szCs w:val="30"/>
        </w:rPr>
        <w:t>投入、过程、产出和效益进行全面的评价分析。</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二、评价结论</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评价实行百分制，等级划分为四档：90（含）-100分为优，80（含）-90分为良，60（含）-80分为中，60分以下为差。</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南山生态修复荒滩绿化项目</w:t>
      </w:r>
      <w:r>
        <w:rPr>
          <w:rFonts w:ascii="仿宋" w:hAnsi="仿宋" w:eastAsia="仿宋" w:cs="仿宋"/>
          <w:kern w:val="0"/>
          <w:sz w:val="30"/>
          <w:szCs w:val="30"/>
        </w:rPr>
        <w:t>绩效评价得分为8</w:t>
      </w:r>
      <w:r>
        <w:rPr>
          <w:rFonts w:hint="eastAsia" w:ascii="仿宋" w:hAnsi="仿宋" w:eastAsia="仿宋" w:cs="仿宋"/>
          <w:kern w:val="0"/>
          <w:sz w:val="30"/>
          <w:szCs w:val="30"/>
        </w:rPr>
        <w:t>2</w:t>
      </w:r>
      <w:r>
        <w:rPr>
          <w:rFonts w:ascii="仿宋" w:hAnsi="仿宋" w:eastAsia="仿宋" w:cs="仿宋"/>
          <w:kern w:val="0"/>
          <w:sz w:val="30"/>
          <w:szCs w:val="30"/>
        </w:rPr>
        <w:t>分，绩效评价等级为</w:t>
      </w:r>
      <w:r>
        <w:rPr>
          <w:rFonts w:hint="eastAsia" w:ascii="仿宋" w:hAnsi="仿宋" w:eastAsia="仿宋" w:cs="仿宋"/>
          <w:kern w:val="0"/>
          <w:sz w:val="30"/>
          <w:szCs w:val="30"/>
        </w:rPr>
        <w:t>“良”。</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三、主要经验及做法</w:t>
      </w:r>
    </w:p>
    <w:p>
      <w:pPr>
        <w:spacing w:line="600" w:lineRule="exact"/>
        <w:ind w:firstLine="600" w:firstLineChars="200"/>
        <w:rPr>
          <w:rFonts w:ascii="仿宋" w:hAnsi="仿宋" w:eastAsia="仿宋" w:cs="仿宋"/>
          <w:kern w:val="0"/>
          <w:sz w:val="30"/>
          <w:szCs w:val="30"/>
        </w:rPr>
      </w:pPr>
      <w:r>
        <w:rPr>
          <w:rFonts w:ascii="仿宋" w:hAnsi="仿宋" w:eastAsia="仿宋" w:cs="仿宋"/>
          <w:kern w:val="0"/>
          <w:sz w:val="30"/>
          <w:szCs w:val="30"/>
        </w:rPr>
        <w:t>（一）加强领导</w:t>
      </w:r>
      <w:r>
        <w:rPr>
          <w:rFonts w:hint="eastAsia" w:ascii="仿宋" w:hAnsi="仿宋" w:eastAsia="仿宋" w:cs="仿宋"/>
          <w:kern w:val="0"/>
          <w:sz w:val="30"/>
          <w:szCs w:val="30"/>
        </w:rPr>
        <w:t>，强化项目组织保障</w:t>
      </w:r>
      <w:r>
        <w:rPr>
          <w:rFonts w:ascii="仿宋" w:hAnsi="仿宋" w:eastAsia="仿宋" w:cs="仿宋"/>
          <w:kern w:val="0"/>
          <w:sz w:val="30"/>
          <w:szCs w:val="30"/>
        </w:rPr>
        <w:t>。</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工程从谋划、立项、建设都得到了运城市政府、盐湖区委区政府的高度重视，成立了运城市南山生态修复指挥部，把南山绿化作为全市绿化工作的龙头来抓，开展全民绿化行动。运城市南山生态修复指挥部负责项目的组织领导、联动协调、督促指导等工作，具体协调解决项目存在的困难与问题，市林业局、旅发委、果业发展中心、盐湖生态保护与开发中心、盐湖区政府及盐化集团等单位积极配合，为项目建设提供了坚强的组织保障。</w:t>
      </w:r>
    </w:p>
    <w:p>
      <w:pPr>
        <w:spacing w:line="600" w:lineRule="exact"/>
        <w:ind w:firstLine="600" w:firstLineChars="200"/>
        <w:rPr>
          <w:rFonts w:ascii="仿宋" w:hAnsi="仿宋" w:eastAsia="仿宋" w:cs="仿宋"/>
          <w:kern w:val="0"/>
          <w:sz w:val="30"/>
          <w:szCs w:val="30"/>
        </w:rPr>
      </w:pPr>
      <w:r>
        <w:rPr>
          <w:rFonts w:ascii="仿宋" w:hAnsi="仿宋" w:eastAsia="仿宋" w:cs="仿宋"/>
          <w:kern w:val="0"/>
          <w:sz w:val="30"/>
          <w:szCs w:val="30"/>
        </w:rPr>
        <w:t>（二）</w:t>
      </w:r>
      <w:r>
        <w:rPr>
          <w:rFonts w:hint="eastAsia" w:ascii="仿宋" w:hAnsi="仿宋" w:eastAsia="仿宋" w:cs="仿宋"/>
          <w:kern w:val="0"/>
          <w:sz w:val="30"/>
          <w:szCs w:val="30"/>
        </w:rPr>
        <w:t>分工负责，互相支持，上下配合。</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项目建设期间，运城市发改委、国土资源局、规划局、环保局、水务局、林业局等单位简化审批流程，加快前期工作审批办理，积极服务工程建设。项目所在的盐湖区政府、项目涉及的乡镇、村积极协调工程建设中与地方群众的利益问题。建设单位、施工单位、监理单位相互配合，相互支持，确保了工程顺利开展。</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四、存在的问题</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（一）财政报备资料不齐全，自评报告内容不完整。</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项目单位按要求申报了绩效目标，但缺少项目监控的相关制度。</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项目单位提供了自评报告，报告内容比较客观，基本反映了项目建设的全过程，但不够全面、完整，如缺少评价指标体系与自评得分等内容。</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（二）绩效目标不够明确、细化、不全面。</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项目单位设定了项目产出、项目效益指标，缺乏质量、时效性等指标；没有细化分解为清晰、可衡量的具体指标。</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（三）项目管理制度不健全。</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在工程建设中，项目单位严格落实了招投标制、工程监理制等制度，委托有资质的设计单位进行了设计，涉及变更的部分也按要求履行了变更程序。</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评价中发现，项目单位业务管理制度不够健全，如未制定合同管理制度、档案管理制度等。</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（四）可持续影响。</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项目单位对全区的林业工作都明确了具体的要求，如在林木补植补栽、树木修剪涂白、地表清理及树盘整治、抚育养护等方面都做了详细的规定，但没有做到制度上墙，未形成一套完整有效的后续维护管护制度，后续经费未完全落实。</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五、建议</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（一）按要求向财政部门报备绩效评价资料，开展绩效自评工作，并形成客观、真实、完整的自评报告。</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项目单位应该根据财政部门下发的绩效评价文件要求，申报绩效评价资料，开展绩效自评工作，撰写自评报告，报告内容要做到客观、真实、完整，要能清晰的反应整个项目的建设全过程。</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（二）明确、细化预算绩效目标，完善预算绩效管理体系。</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预算绩效目标的设定是完善预算绩效管理机制的基础和依据，预算单位申请资金时，应把绩效目标作为预算编制不可或缺的有机内容；财政部门在审核预算时应同时审核预算单位设定的绩效目标，批复预算资金时一并批复绩效目标，为预算绩效管理奠定基础。</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（三）建立健全项目管理制度。</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项目单位应进一步健全项目管理制度，已有的制度要严格执行，缺失的制度如合同管理制度、档案管理制度要建立健全。</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（四）落实后续管护措施，巩固绿化成果。</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要进一步研究南山区域及通道绿化等林木管护机制，提升生态建设质量，确保栽植一片、成活一片、绿化一片、不断提高盐湖区森林覆盖率；通过设立绿化项目后期管护区级专项补助资金，解决“重建轻管”的问题。</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（五）重视存在的问题，认真落实整改措施。</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第三方评价的最终目的在于肯定成效，针对存在问题提出建议，督促有关各方完善管理，提高财政专项资金的使用绩效。建议财政、林业等有关部门要引起高度重视，切实采取有力措施，制定有效工作方案，进一步提升专项资金使用绩效</w:t>
      </w:r>
      <w:r>
        <w:rPr>
          <w:rFonts w:ascii="仿宋" w:hAnsi="仿宋" w:eastAsia="仿宋" w:cs="仿宋"/>
          <w:kern w:val="0"/>
          <w:sz w:val="30"/>
          <w:szCs w:val="30"/>
        </w:rPr>
        <w:t>。</w:t>
      </w:r>
    </w:p>
    <w:p>
      <w:pPr>
        <w:spacing w:line="600" w:lineRule="exact"/>
        <w:ind w:firstLine="600" w:firstLineChars="200"/>
        <w:rPr>
          <w:rFonts w:ascii="宋体"/>
          <w:bCs/>
          <w:sz w:val="30"/>
          <w:szCs w:val="30"/>
        </w:rPr>
      </w:pPr>
      <w:r>
        <w:rPr>
          <w:rFonts w:ascii="仿宋" w:hAnsi="仿宋" w:eastAsia="仿宋" w:cs="仿宋"/>
          <w:kern w:val="0"/>
          <w:sz w:val="30"/>
          <w:szCs w:val="30"/>
        </w:rPr>
        <w:br w:type="page"/>
      </w:r>
    </w:p>
    <w:p>
      <w:pPr>
        <w:pStyle w:val="35"/>
        <w:outlineLvl w:val="9"/>
        <w:rPr>
          <w:rFonts w:ascii="仿宋" w:hAnsi="仿宋" w:eastAsia="仿宋" w:cs="仿宋"/>
          <w:sz w:val="36"/>
          <w:szCs w:val="36"/>
        </w:rPr>
      </w:pPr>
      <w:r>
        <w:rPr>
          <w:rFonts w:hint="eastAsia" w:ascii="仿宋" w:hAnsi="仿宋" w:eastAsia="仿宋" w:cs="仿宋"/>
          <w:sz w:val="36"/>
          <w:szCs w:val="36"/>
        </w:rPr>
        <w:t>南山生态修复荒滩绿化项目</w:t>
      </w:r>
      <w:bookmarkStart w:id="1" w:name="_Toc24633785"/>
      <w:r>
        <w:rPr>
          <w:rFonts w:hint="eastAsia" w:ascii="仿宋" w:hAnsi="仿宋" w:eastAsia="仿宋" w:cs="仿宋"/>
          <w:sz w:val="36"/>
          <w:szCs w:val="36"/>
        </w:rPr>
        <w:t>绩效评价报告</w:t>
      </w:r>
      <w:bookmarkEnd w:id="1"/>
    </w:p>
    <w:p>
      <w:pPr>
        <w:autoSpaceDE w:val="0"/>
        <w:autoSpaceDN w:val="0"/>
        <w:adjustRightInd w:val="0"/>
        <w:rPr>
          <w:rFonts w:ascii="仿宋" w:hAnsi="仿宋" w:eastAsia="仿宋" w:cs="仿宋"/>
          <w:b/>
          <w:color w:val="000000"/>
          <w:sz w:val="30"/>
          <w:szCs w:val="30"/>
        </w:rPr>
      </w:pPr>
      <w:r>
        <w:rPr>
          <w:rFonts w:ascii="仿宋" w:hAnsi="仿宋" w:eastAsia="仿宋" w:cs="仿宋"/>
          <w:b/>
          <w:color w:val="000000"/>
          <w:sz w:val="30"/>
          <w:szCs w:val="30"/>
        </w:rPr>
        <w:t>运城市财政局：</w:t>
      </w:r>
    </w:p>
    <w:p>
      <w:pPr>
        <w:tabs>
          <w:tab w:val="left" w:pos="1182"/>
        </w:tabs>
        <w:spacing w:line="600" w:lineRule="exact"/>
        <w:ind w:firstLine="600" w:firstLineChars="200"/>
        <w:rPr>
          <w:rFonts w:ascii="仿宋" w:hAnsi="仿宋" w:eastAsia="仿宋" w:cs="仿宋"/>
          <w:sz w:val="30"/>
          <w:szCs w:val="30"/>
        </w:rPr>
      </w:pPr>
      <w:r>
        <w:rPr>
          <w:rFonts w:ascii="仿宋" w:hAnsi="仿宋" w:eastAsia="仿宋" w:cs="仿宋"/>
          <w:sz w:val="30"/>
          <w:szCs w:val="30"/>
        </w:rPr>
        <w:t>我们接受委托，对</w:t>
      </w:r>
      <w:r>
        <w:rPr>
          <w:rFonts w:hint="eastAsia" w:ascii="仿宋" w:hAnsi="仿宋" w:eastAsia="仿宋" w:cs="仿宋"/>
          <w:sz w:val="30"/>
          <w:szCs w:val="30"/>
        </w:rPr>
        <w:t>南山生态修复荒滩绿化项目</w:t>
      </w:r>
      <w:r>
        <w:rPr>
          <w:rFonts w:ascii="仿宋" w:hAnsi="仿宋" w:eastAsia="仿宋" w:cs="仿宋"/>
          <w:sz w:val="30"/>
          <w:szCs w:val="30"/>
        </w:rPr>
        <w:t>进行了绩效评价。根据</w:t>
      </w:r>
      <w:r>
        <w:rPr>
          <w:rFonts w:hint="eastAsia" w:ascii="仿宋" w:hAnsi="仿宋" w:eastAsia="仿宋" w:cs="仿宋"/>
          <w:sz w:val="30"/>
          <w:szCs w:val="30"/>
        </w:rPr>
        <w:t>《预算法》、《财政部关于印发&lt;项目支出绩效评价管理办法&gt;的通知》（财预〔2020〕10 号）、《中共山西省委 山西省人民政府关于全面实施预算绩效管理的实施意见》和《运城市财政局关于印发&lt;运城市财政局2020年预算绩效评价实施方案&gt;的通知》（运财监〔2020〕8号）</w:t>
      </w:r>
      <w:r>
        <w:rPr>
          <w:rFonts w:ascii="仿宋" w:hAnsi="仿宋" w:eastAsia="仿宋" w:cs="仿宋"/>
          <w:sz w:val="30"/>
          <w:szCs w:val="30"/>
        </w:rPr>
        <w:t>等文件的精神和相关要求，我们按照绩效评价工作方案确定的评价指标、评价标准和评价方法，对评价对象的绩效情况进行全面的定量定性分析和综合评价，形成了本报告。</w:t>
      </w:r>
    </w:p>
    <w:p>
      <w:pPr>
        <w:pStyle w:val="2"/>
        <w:spacing w:before="0" w:after="0" w:line="360" w:lineRule="auto"/>
        <w:ind w:firstLine="602" w:firstLineChars="200"/>
        <w:rPr>
          <w:rFonts w:ascii="仿宋" w:hAnsi="仿宋" w:eastAsia="仿宋" w:cs="仿宋"/>
          <w:bCs w:val="0"/>
          <w:color w:val="000000"/>
          <w:sz w:val="30"/>
          <w:szCs w:val="30"/>
        </w:rPr>
      </w:pPr>
      <w:bookmarkStart w:id="2" w:name="_Toc24633786"/>
      <w:r>
        <w:rPr>
          <w:rFonts w:hint="eastAsia" w:ascii="仿宋" w:hAnsi="仿宋" w:eastAsia="仿宋" w:cs="仿宋"/>
          <w:bCs w:val="0"/>
          <w:color w:val="000000"/>
          <w:sz w:val="30"/>
          <w:szCs w:val="30"/>
        </w:rPr>
        <w:t>一、项目基本情况</w:t>
      </w:r>
      <w:bookmarkEnd w:id="2"/>
    </w:p>
    <w:p>
      <w:pPr>
        <w:pStyle w:val="2"/>
        <w:spacing w:before="0" w:after="0" w:line="360" w:lineRule="auto"/>
        <w:ind w:firstLine="602" w:firstLineChars="200"/>
        <w:rPr>
          <w:rFonts w:ascii="仿宋" w:hAnsi="仿宋" w:eastAsia="仿宋" w:cs="仿宋"/>
          <w:bCs w:val="0"/>
          <w:color w:val="000000"/>
          <w:sz w:val="30"/>
          <w:szCs w:val="30"/>
        </w:rPr>
      </w:pPr>
      <w:bookmarkStart w:id="3" w:name="_Toc24633787"/>
      <w:r>
        <w:rPr>
          <w:rFonts w:ascii="仿宋" w:hAnsi="仿宋" w:eastAsia="仿宋" w:cs="仿宋"/>
          <w:bCs w:val="0"/>
          <w:color w:val="000000"/>
          <w:sz w:val="30"/>
          <w:szCs w:val="30"/>
        </w:rPr>
        <w:t>（一）项目概况</w:t>
      </w:r>
      <w:bookmarkEnd w:id="3"/>
    </w:p>
    <w:p>
      <w:pPr>
        <w:autoSpaceDE w:val="0"/>
        <w:autoSpaceDN w:val="0"/>
        <w:adjustRightInd w:val="0"/>
        <w:ind w:firstLine="602" w:firstLineChars="200"/>
        <w:rPr>
          <w:rFonts w:ascii="仿宋" w:hAnsi="仿宋" w:eastAsia="仿宋" w:cs="仿宋"/>
          <w:b/>
          <w:color w:val="000000"/>
          <w:sz w:val="30"/>
          <w:szCs w:val="30"/>
        </w:rPr>
      </w:pPr>
      <w:r>
        <w:rPr>
          <w:rFonts w:ascii="仿宋" w:hAnsi="仿宋" w:eastAsia="仿宋" w:cs="仿宋"/>
          <w:b/>
          <w:color w:val="000000"/>
          <w:sz w:val="30"/>
          <w:szCs w:val="30"/>
        </w:rPr>
        <w:t>1.立项背景</w:t>
      </w:r>
    </w:p>
    <w:p>
      <w:pPr>
        <w:autoSpaceDE w:val="0"/>
        <w:autoSpaceDN w:val="0"/>
        <w:adjustRightInd w:val="0"/>
        <w:ind w:firstLine="600" w:firstLineChars="200"/>
        <w:rPr>
          <w:rFonts w:ascii="仿宋" w:hAnsi="仿宋" w:eastAsia="仿宋" w:cs="仿宋"/>
          <w:kern w:val="0"/>
          <w:sz w:val="30"/>
          <w:szCs w:val="30"/>
        </w:rPr>
      </w:pPr>
      <w:r>
        <w:rPr>
          <w:rFonts w:hint="eastAsia" w:ascii="仿宋" w:hAnsi="仿宋" w:eastAsia="仿宋" w:cs="仿宋"/>
          <w:kern w:val="0"/>
          <w:sz w:val="30"/>
          <w:szCs w:val="30"/>
        </w:rPr>
        <w:t>党的十八大将生态文明提升至建设中国特色社会主义</w:t>
      </w:r>
      <w:r>
        <w:rPr>
          <w:rFonts w:ascii="仿宋" w:hAnsi="仿宋" w:eastAsia="仿宋" w:cs="仿宋"/>
          <w:kern w:val="0"/>
          <w:sz w:val="30"/>
          <w:szCs w:val="30"/>
        </w:rPr>
        <w:t>“</w:t>
      </w:r>
      <w:r>
        <w:rPr>
          <w:rFonts w:hint="eastAsia" w:ascii="仿宋" w:hAnsi="仿宋" w:eastAsia="仿宋" w:cs="仿宋"/>
          <w:kern w:val="0"/>
          <w:sz w:val="30"/>
          <w:szCs w:val="30"/>
        </w:rPr>
        <w:t>五位一体</w:t>
      </w:r>
      <w:r>
        <w:rPr>
          <w:rFonts w:ascii="仿宋" w:hAnsi="仿宋" w:eastAsia="仿宋" w:cs="仿宋"/>
          <w:kern w:val="0"/>
          <w:sz w:val="30"/>
          <w:szCs w:val="30"/>
        </w:rPr>
        <w:t>”</w:t>
      </w:r>
      <w:r>
        <w:rPr>
          <w:rFonts w:hint="eastAsia" w:ascii="仿宋" w:hAnsi="仿宋" w:eastAsia="仿宋" w:cs="仿宋"/>
          <w:kern w:val="0"/>
          <w:sz w:val="30"/>
          <w:szCs w:val="30"/>
        </w:rPr>
        <w:t>总体布局的战略高度，把美丽中国作为生态文明建设的宏伟目标。十八届三中全会提出必须建立系统完整的生态文明制度体系，强调用改革创新的思维推动生态文明建设的深入和发展。</w:t>
      </w:r>
    </w:p>
    <w:p>
      <w:pPr>
        <w:autoSpaceDE w:val="0"/>
        <w:autoSpaceDN w:val="0"/>
        <w:adjustRightInd w:val="0"/>
        <w:ind w:firstLine="600" w:firstLineChars="200"/>
        <w:rPr>
          <w:rFonts w:ascii="仿宋" w:hAnsi="仿宋" w:eastAsia="仿宋" w:cs="仿宋"/>
          <w:kern w:val="0"/>
          <w:sz w:val="30"/>
          <w:szCs w:val="30"/>
        </w:rPr>
      </w:pPr>
      <w:r>
        <w:rPr>
          <w:rFonts w:hint="eastAsia" w:ascii="仿宋" w:hAnsi="仿宋" w:eastAsia="仿宋" w:cs="仿宋"/>
          <w:kern w:val="0"/>
          <w:sz w:val="30"/>
          <w:szCs w:val="30"/>
        </w:rPr>
        <w:t>根据山西省委、省政府确定的</w:t>
      </w:r>
      <w:r>
        <w:rPr>
          <w:rFonts w:ascii="仿宋" w:hAnsi="仿宋" w:eastAsia="仿宋" w:cs="仿宋"/>
          <w:kern w:val="0"/>
          <w:sz w:val="30"/>
          <w:szCs w:val="30"/>
        </w:rPr>
        <w:t>“</w:t>
      </w:r>
      <w:r>
        <w:rPr>
          <w:rFonts w:hint="eastAsia" w:ascii="仿宋" w:hAnsi="仿宋" w:eastAsia="仿宋" w:cs="仿宋"/>
          <w:kern w:val="0"/>
          <w:sz w:val="30"/>
          <w:szCs w:val="30"/>
        </w:rPr>
        <w:t>生态兴省</w:t>
      </w:r>
      <w:r>
        <w:rPr>
          <w:rFonts w:ascii="仿宋" w:hAnsi="仿宋" w:eastAsia="仿宋" w:cs="仿宋"/>
          <w:kern w:val="0"/>
          <w:sz w:val="30"/>
          <w:szCs w:val="30"/>
        </w:rPr>
        <w:t>”</w:t>
      </w:r>
      <w:r>
        <w:rPr>
          <w:rFonts w:hint="eastAsia" w:ascii="仿宋" w:hAnsi="仿宋" w:eastAsia="仿宋" w:cs="仿宋"/>
          <w:kern w:val="0"/>
          <w:sz w:val="30"/>
          <w:szCs w:val="30"/>
        </w:rPr>
        <w:t>战略目标，结合运城市实际情况，根据全市土地利用及自然、社会、经济情况，从全面落实科学发展观努力构建和谐社会，把运城建设成山西向东向西开放的桥头堡和大通道的高度，充分发挥森林的各种效益，开展运城市南山生态修复及绿化提升项目的工作势在必行。</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南山区域生态修复是运城市历史上生态修复最弱的一个点，南山风大干旱，土薄石多，是运城市生态环境最弱的区域，同时也是最难造林的区域，更是运城市现代生态林业发展的瓶颈。</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开展运城市南山生态修复及绿化提升项目，是践行习近平总书记的</w:t>
      </w:r>
      <w:r>
        <w:rPr>
          <w:rFonts w:ascii="仿宋" w:hAnsi="仿宋" w:eastAsia="仿宋" w:cs="仿宋"/>
          <w:kern w:val="0"/>
          <w:sz w:val="30"/>
          <w:szCs w:val="30"/>
        </w:rPr>
        <w:t>“</w:t>
      </w:r>
      <w:r>
        <w:rPr>
          <w:rFonts w:hint="eastAsia" w:ascii="仿宋" w:hAnsi="仿宋" w:eastAsia="仿宋" w:cs="仿宋"/>
          <w:kern w:val="0"/>
          <w:sz w:val="30"/>
          <w:szCs w:val="30"/>
        </w:rPr>
        <w:t>绿水青山就是金山银山</w:t>
      </w:r>
      <w:r>
        <w:rPr>
          <w:rFonts w:ascii="仿宋" w:hAnsi="仿宋" w:eastAsia="仿宋" w:cs="仿宋"/>
          <w:kern w:val="0"/>
          <w:sz w:val="30"/>
          <w:szCs w:val="30"/>
        </w:rPr>
        <w:t>”</w:t>
      </w:r>
      <w:r>
        <w:rPr>
          <w:rFonts w:hint="eastAsia" w:ascii="仿宋" w:hAnsi="仿宋" w:eastAsia="仿宋" w:cs="仿宋"/>
          <w:kern w:val="0"/>
          <w:sz w:val="30"/>
          <w:szCs w:val="30"/>
        </w:rPr>
        <w:t>科学论断的有益尝试，是落实</w:t>
      </w:r>
      <w:r>
        <w:rPr>
          <w:rFonts w:ascii="仿宋" w:hAnsi="仿宋" w:eastAsia="仿宋" w:cs="仿宋"/>
          <w:kern w:val="0"/>
          <w:sz w:val="30"/>
          <w:szCs w:val="30"/>
        </w:rPr>
        <w:t>“</w:t>
      </w:r>
      <w:r>
        <w:rPr>
          <w:rFonts w:hint="eastAsia" w:ascii="仿宋" w:hAnsi="仿宋" w:eastAsia="仿宋" w:cs="仿宋"/>
          <w:kern w:val="0"/>
          <w:sz w:val="30"/>
          <w:szCs w:val="30"/>
        </w:rPr>
        <w:t>山水林田湖草生命共同体综合治理</w:t>
      </w:r>
      <w:r>
        <w:rPr>
          <w:rFonts w:ascii="仿宋" w:hAnsi="仿宋" w:eastAsia="仿宋" w:cs="仿宋"/>
          <w:kern w:val="0"/>
          <w:sz w:val="30"/>
          <w:szCs w:val="30"/>
        </w:rPr>
        <w:t>”</w:t>
      </w:r>
      <w:r>
        <w:rPr>
          <w:rFonts w:hint="eastAsia" w:ascii="仿宋" w:hAnsi="仿宋" w:eastAsia="仿宋" w:cs="仿宋"/>
          <w:kern w:val="0"/>
          <w:sz w:val="30"/>
          <w:szCs w:val="30"/>
        </w:rPr>
        <w:t>的重要举措。南山盐湖区域生态修复及绿化提升工程更是贯彻习</w:t>
      </w:r>
      <w:r>
        <w:rPr>
          <w:rFonts w:hint="eastAsia" w:ascii="仿宋" w:hAnsi="仿宋" w:eastAsia="仿宋" w:cs="仿宋"/>
          <w:kern w:val="0"/>
          <w:sz w:val="30"/>
          <w:szCs w:val="30"/>
          <w:lang w:val="en-US" w:eastAsia="zh-CN"/>
        </w:rPr>
        <w:t>近平</w:t>
      </w:r>
      <w:bookmarkStart w:id="29" w:name="_GoBack"/>
      <w:bookmarkEnd w:id="29"/>
      <w:r>
        <w:rPr>
          <w:rFonts w:hint="eastAsia" w:ascii="仿宋" w:hAnsi="仿宋" w:eastAsia="仿宋" w:cs="仿宋"/>
          <w:kern w:val="0"/>
          <w:sz w:val="30"/>
          <w:szCs w:val="30"/>
        </w:rPr>
        <w:t>总书记</w:t>
      </w:r>
      <w:r>
        <w:rPr>
          <w:rFonts w:ascii="仿宋" w:hAnsi="仿宋" w:eastAsia="仿宋" w:cs="仿宋"/>
          <w:kern w:val="0"/>
          <w:sz w:val="30"/>
          <w:szCs w:val="30"/>
        </w:rPr>
        <w:t>“</w:t>
      </w:r>
      <w:r>
        <w:rPr>
          <w:rFonts w:hint="eastAsia" w:ascii="仿宋" w:hAnsi="仿宋" w:eastAsia="仿宋" w:cs="仿宋"/>
          <w:kern w:val="0"/>
          <w:sz w:val="30"/>
          <w:szCs w:val="30"/>
        </w:rPr>
        <w:t>四个着力</w:t>
      </w:r>
      <w:r>
        <w:rPr>
          <w:rFonts w:ascii="仿宋" w:hAnsi="仿宋" w:eastAsia="仿宋" w:cs="仿宋"/>
          <w:kern w:val="0"/>
          <w:sz w:val="30"/>
          <w:szCs w:val="30"/>
        </w:rPr>
        <w:t>”</w:t>
      </w:r>
      <w:r>
        <w:rPr>
          <w:rFonts w:hint="eastAsia" w:ascii="仿宋" w:hAnsi="仿宋" w:eastAsia="仿宋" w:cs="仿宋"/>
          <w:kern w:val="0"/>
          <w:sz w:val="30"/>
          <w:szCs w:val="30"/>
        </w:rPr>
        <w:t>要求--着力创建国家森林城市的重要节点，塑造表里山河生态美好、壮美形象的重点工程，更是提升运城市民生活环境质量的重要抓手。该工程是近几年运城最大的民生工程、生态工程、保护工程，是生态文明建设的重点和标志性工程，更是运城市人民为运城市政府点赞的工程。</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2017年6月，运城市盐湖生态保护与开发中心委托国家林产工业规划设计院编制了《运城市南山生态修复及绿化提升项目(一期)可行性研究报告》，运城市发展和改革委员会与运城市林业局组织有关专家和部门对该项目的可研报告进行了评审，结合市林业局、市旅发委的初审意见同意该项目的实施。</w:t>
      </w:r>
    </w:p>
    <w:p>
      <w:pPr>
        <w:autoSpaceDE w:val="0"/>
        <w:autoSpaceDN w:val="0"/>
        <w:adjustRightInd w:val="0"/>
        <w:ind w:firstLine="602" w:firstLineChars="200"/>
        <w:rPr>
          <w:rFonts w:ascii="仿宋" w:hAnsi="仿宋" w:eastAsia="仿宋" w:cs="仿宋"/>
          <w:b/>
          <w:bCs/>
          <w:kern w:val="0"/>
          <w:sz w:val="30"/>
          <w:szCs w:val="30"/>
        </w:rPr>
      </w:pPr>
      <w:r>
        <w:rPr>
          <w:rFonts w:ascii="仿宋" w:hAnsi="仿宋" w:eastAsia="仿宋" w:cs="仿宋"/>
          <w:b/>
          <w:bCs/>
          <w:kern w:val="0"/>
          <w:sz w:val="30"/>
          <w:szCs w:val="30"/>
        </w:rPr>
        <w:t>2.</w:t>
      </w:r>
      <w:r>
        <w:rPr>
          <w:rFonts w:hint="eastAsia" w:ascii="仿宋" w:hAnsi="仿宋" w:eastAsia="仿宋" w:cs="仿宋"/>
          <w:b/>
          <w:bCs/>
          <w:kern w:val="0"/>
          <w:sz w:val="30"/>
          <w:szCs w:val="30"/>
        </w:rPr>
        <w:t>项目立项依据</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《运城市发展和改革委员关于对运城市南山生态修复及绿化提升项目（一期）可研报告的批复》；</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《运城市南部生态区域战略规划》；</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《运城市南山生态修复及绿化提升规划（2017-2025）》</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运城市人民政府协调会议议定事项（〔2017〕3号）；</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运城市人民政府常务会议纪要（〔2017〕14次）；</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运城市人民政府专题会议纪要（〔2018〕4次）；</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运城市人民政府常务会议纪要（〔2019〕52次）；</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运城市人民政府办公厅《关于印发运城市南山生态修复及绿化提升项目（一期）建设方案的通知》；</w:t>
      </w:r>
    </w:p>
    <w:p>
      <w:pPr>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运城市南山生态修复指挥部文件《关于运城南绕城高速公路通道绿化工程的批复》（运南发字〔2017〕3号）。</w:t>
      </w:r>
    </w:p>
    <w:p>
      <w:pPr>
        <w:autoSpaceDE w:val="0"/>
        <w:autoSpaceDN w:val="0"/>
        <w:adjustRightInd w:val="0"/>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3.</w:t>
      </w:r>
      <w:r>
        <w:rPr>
          <w:rFonts w:ascii="仿宋" w:hAnsi="仿宋" w:eastAsia="仿宋" w:cs="仿宋"/>
          <w:b/>
          <w:bCs/>
          <w:kern w:val="0"/>
          <w:sz w:val="30"/>
          <w:szCs w:val="30"/>
        </w:rPr>
        <w:t>项目资金来源</w:t>
      </w:r>
    </w:p>
    <w:p>
      <w:pPr>
        <w:tabs>
          <w:tab w:val="left" w:pos="1182"/>
        </w:tabs>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运城市南山生态修复及绿化提升项目（一期）建设投资估算总额为62837.64万元。</w:t>
      </w:r>
    </w:p>
    <w:p>
      <w:pPr>
        <w:tabs>
          <w:tab w:val="left" w:pos="1182"/>
        </w:tabs>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本次评价项目为运城市南山生态修复及绿化提升项目（一期）中的子项目-南山生态修复荒滩绿化项目， 2019年8月23日，根据《运城市财政局关于拨付南山生态修复项目政府债券资金的通知》（运财资环〔2017〕3号）文件，下达了南山生态修复荒滩绿化资金2000万元。</w:t>
      </w:r>
    </w:p>
    <w:p>
      <w:pPr>
        <w:tabs>
          <w:tab w:val="left" w:pos="1182"/>
        </w:tabs>
        <w:spacing w:line="600" w:lineRule="exact"/>
        <w:ind w:firstLine="602" w:firstLineChars="200"/>
        <w:rPr>
          <w:rFonts w:ascii="仿宋" w:hAnsi="仿宋" w:eastAsia="仿宋" w:cs="仿宋"/>
          <w:b/>
          <w:bCs/>
          <w:kern w:val="0"/>
          <w:sz w:val="30"/>
          <w:szCs w:val="30"/>
        </w:rPr>
      </w:pPr>
      <w:r>
        <w:rPr>
          <w:rFonts w:hint="eastAsia" w:ascii="仿宋" w:hAnsi="仿宋" w:eastAsia="仿宋" w:cs="仿宋"/>
          <w:b/>
          <w:bCs/>
          <w:kern w:val="0"/>
          <w:sz w:val="30"/>
          <w:szCs w:val="30"/>
        </w:rPr>
        <w:t>4</w:t>
      </w:r>
      <w:r>
        <w:rPr>
          <w:rFonts w:ascii="仿宋" w:hAnsi="仿宋" w:eastAsia="仿宋" w:cs="仿宋"/>
          <w:b/>
          <w:bCs/>
          <w:kern w:val="0"/>
          <w:sz w:val="30"/>
          <w:szCs w:val="30"/>
        </w:rPr>
        <w:t>.资金使用情况</w:t>
      </w:r>
    </w:p>
    <w:p>
      <w:pPr>
        <w:tabs>
          <w:tab w:val="left" w:pos="1182"/>
        </w:tabs>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截止2020年8月31日，南山生态修复荒滩绿化项目收到2019年度财政资金20,000.000.00元，支出</w:t>
      </w:r>
      <w:r>
        <w:rPr>
          <w:rFonts w:ascii="仿宋" w:hAnsi="仿宋" w:eastAsia="仿宋" w:cs="仿宋"/>
          <w:kern w:val="0"/>
          <w:sz w:val="30"/>
          <w:szCs w:val="30"/>
        </w:rPr>
        <w:t>18,087,620.44</w:t>
      </w:r>
      <w:r>
        <w:rPr>
          <w:rFonts w:hint="eastAsia" w:ascii="仿宋" w:hAnsi="仿宋" w:eastAsia="仿宋" w:cs="仿宋"/>
          <w:kern w:val="0"/>
          <w:sz w:val="30"/>
          <w:szCs w:val="30"/>
        </w:rPr>
        <w:t>元，剩余资金</w:t>
      </w:r>
      <w:r>
        <w:rPr>
          <w:rFonts w:ascii="仿宋" w:hAnsi="仿宋" w:eastAsia="仿宋" w:cs="仿宋"/>
          <w:kern w:val="0"/>
          <w:sz w:val="30"/>
          <w:szCs w:val="30"/>
        </w:rPr>
        <w:t>1,912,379.56</w:t>
      </w:r>
      <w:r>
        <w:rPr>
          <w:rFonts w:hint="eastAsia" w:ascii="仿宋" w:hAnsi="仿宋" w:eastAsia="仿宋" w:cs="仿宋"/>
          <w:kern w:val="0"/>
          <w:sz w:val="30"/>
          <w:szCs w:val="30"/>
        </w:rPr>
        <w:t>元尚未支出。</w:t>
      </w:r>
    </w:p>
    <w:p>
      <w:pPr>
        <w:tabs>
          <w:tab w:val="left" w:pos="1182"/>
        </w:tabs>
        <w:spacing w:line="60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支出明细见下表：</w:t>
      </w:r>
    </w:p>
    <w:tbl>
      <w:tblPr>
        <w:tblStyle w:val="14"/>
        <w:tblW w:w="7320" w:type="dxa"/>
        <w:jc w:val="center"/>
        <w:tblLayout w:type="autofit"/>
        <w:tblCellMar>
          <w:top w:w="0" w:type="dxa"/>
          <w:left w:w="108" w:type="dxa"/>
          <w:bottom w:w="0" w:type="dxa"/>
          <w:right w:w="108" w:type="dxa"/>
        </w:tblCellMar>
      </w:tblPr>
      <w:tblGrid>
        <w:gridCol w:w="3260"/>
        <w:gridCol w:w="1920"/>
        <w:gridCol w:w="2140"/>
      </w:tblGrid>
      <w:tr>
        <w:tblPrEx>
          <w:tblCellMar>
            <w:top w:w="0" w:type="dxa"/>
            <w:left w:w="108" w:type="dxa"/>
            <w:bottom w:w="0" w:type="dxa"/>
            <w:right w:w="108" w:type="dxa"/>
          </w:tblCellMar>
        </w:tblPrEx>
        <w:trPr>
          <w:trHeight w:val="459" w:hRule="atLeast"/>
          <w:jc w:val="center"/>
        </w:trPr>
        <w:tc>
          <w:tcPr>
            <w:tcW w:w="32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项目</w:t>
            </w:r>
          </w:p>
        </w:tc>
        <w:tc>
          <w:tcPr>
            <w:tcW w:w="21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金额</w:t>
            </w:r>
          </w:p>
        </w:tc>
      </w:tr>
      <w:tr>
        <w:tblPrEx>
          <w:tblCellMar>
            <w:top w:w="0" w:type="dxa"/>
            <w:left w:w="108" w:type="dxa"/>
            <w:bottom w:w="0" w:type="dxa"/>
            <w:right w:w="108" w:type="dxa"/>
          </w:tblCellMar>
        </w:tblPrEx>
        <w:trPr>
          <w:trHeight w:val="459" w:hRule="atLeast"/>
          <w:jc w:val="center"/>
        </w:trPr>
        <w:tc>
          <w:tcPr>
            <w:tcW w:w="32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皂荚创新科技示范园</w:t>
            </w:r>
          </w:p>
        </w:tc>
        <w:tc>
          <w:tcPr>
            <w:tcW w:w="19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工程款</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kern w:val="0"/>
                <w:sz w:val="22"/>
                <w:szCs w:val="22"/>
              </w:rPr>
            </w:pPr>
            <w:r>
              <w:rPr>
                <w:rFonts w:hint="eastAsia" w:ascii="仿宋" w:hAnsi="仿宋" w:eastAsia="仿宋" w:cs="宋体"/>
                <w:kern w:val="0"/>
                <w:sz w:val="22"/>
                <w:szCs w:val="22"/>
              </w:rPr>
              <w:t xml:space="preserve">7,828,566.26 </w:t>
            </w:r>
          </w:p>
        </w:tc>
      </w:tr>
      <w:tr>
        <w:tblPrEx>
          <w:tblCellMar>
            <w:top w:w="0" w:type="dxa"/>
            <w:left w:w="108" w:type="dxa"/>
            <w:bottom w:w="0" w:type="dxa"/>
            <w:right w:w="108" w:type="dxa"/>
          </w:tblCellMar>
        </w:tblPrEx>
        <w:trPr>
          <w:trHeight w:val="459" w:hRule="atLeast"/>
          <w:jc w:val="center"/>
        </w:trPr>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地形测绘费</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kern w:val="0"/>
                <w:sz w:val="22"/>
                <w:szCs w:val="22"/>
              </w:rPr>
            </w:pPr>
            <w:r>
              <w:rPr>
                <w:rFonts w:hint="eastAsia" w:ascii="仿宋" w:hAnsi="仿宋" w:eastAsia="仿宋" w:cs="宋体"/>
                <w:kern w:val="0"/>
                <w:sz w:val="22"/>
                <w:szCs w:val="22"/>
              </w:rPr>
              <w:t xml:space="preserve">125,000.00 </w:t>
            </w:r>
          </w:p>
        </w:tc>
      </w:tr>
      <w:tr>
        <w:tblPrEx>
          <w:tblCellMar>
            <w:top w:w="0" w:type="dxa"/>
            <w:left w:w="108" w:type="dxa"/>
            <w:bottom w:w="0" w:type="dxa"/>
            <w:right w:w="108" w:type="dxa"/>
          </w:tblCellMar>
        </w:tblPrEx>
        <w:trPr>
          <w:trHeight w:val="459" w:hRule="atLeast"/>
          <w:jc w:val="center"/>
        </w:trPr>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工程监理款</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kern w:val="0"/>
                <w:sz w:val="22"/>
                <w:szCs w:val="22"/>
              </w:rPr>
            </w:pPr>
            <w:r>
              <w:rPr>
                <w:rFonts w:hint="eastAsia" w:ascii="仿宋" w:hAnsi="仿宋" w:eastAsia="仿宋" w:cs="宋体"/>
                <w:kern w:val="0"/>
                <w:sz w:val="22"/>
                <w:szCs w:val="22"/>
              </w:rPr>
              <w:t xml:space="preserve">78,700.00 </w:t>
            </w:r>
          </w:p>
        </w:tc>
      </w:tr>
      <w:tr>
        <w:tblPrEx>
          <w:tblCellMar>
            <w:top w:w="0" w:type="dxa"/>
            <w:left w:w="108" w:type="dxa"/>
            <w:bottom w:w="0" w:type="dxa"/>
            <w:right w:w="108" w:type="dxa"/>
          </w:tblCellMar>
        </w:tblPrEx>
        <w:trPr>
          <w:trHeight w:val="459" w:hRule="atLeast"/>
          <w:jc w:val="center"/>
        </w:trPr>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小计</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bCs/>
                <w:kern w:val="0"/>
                <w:sz w:val="22"/>
                <w:szCs w:val="22"/>
              </w:rPr>
            </w:pPr>
            <w:r>
              <w:rPr>
                <w:rFonts w:hint="eastAsia" w:ascii="仿宋" w:hAnsi="仿宋" w:eastAsia="仿宋" w:cs="宋体"/>
                <w:b/>
                <w:bCs/>
                <w:kern w:val="0"/>
                <w:sz w:val="22"/>
                <w:szCs w:val="22"/>
              </w:rPr>
              <w:t xml:space="preserve">8,032,266.26 </w:t>
            </w:r>
          </w:p>
        </w:tc>
      </w:tr>
      <w:tr>
        <w:tblPrEx>
          <w:tblCellMar>
            <w:top w:w="0" w:type="dxa"/>
            <w:left w:w="108" w:type="dxa"/>
            <w:bottom w:w="0" w:type="dxa"/>
            <w:right w:w="108" w:type="dxa"/>
          </w:tblCellMar>
        </w:tblPrEx>
        <w:trPr>
          <w:trHeight w:val="459" w:hRule="atLeast"/>
          <w:jc w:val="center"/>
        </w:trPr>
        <w:tc>
          <w:tcPr>
            <w:tcW w:w="32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荒滩绿化工程</w:t>
            </w:r>
          </w:p>
        </w:tc>
        <w:tc>
          <w:tcPr>
            <w:tcW w:w="19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工程款</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kern w:val="0"/>
                <w:sz w:val="22"/>
                <w:szCs w:val="22"/>
              </w:rPr>
            </w:pPr>
            <w:r>
              <w:rPr>
                <w:rFonts w:hint="eastAsia" w:ascii="仿宋" w:hAnsi="仿宋" w:eastAsia="仿宋" w:cs="宋体"/>
                <w:kern w:val="0"/>
                <w:sz w:val="22"/>
                <w:szCs w:val="22"/>
              </w:rPr>
              <w:t xml:space="preserve">8,395,549.18 </w:t>
            </w:r>
          </w:p>
        </w:tc>
      </w:tr>
      <w:tr>
        <w:tblPrEx>
          <w:tblCellMar>
            <w:top w:w="0" w:type="dxa"/>
            <w:left w:w="108" w:type="dxa"/>
            <w:bottom w:w="0" w:type="dxa"/>
            <w:right w:w="108" w:type="dxa"/>
          </w:tblCellMar>
        </w:tblPrEx>
        <w:trPr>
          <w:trHeight w:val="459" w:hRule="atLeast"/>
          <w:jc w:val="center"/>
        </w:trPr>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工程监理费</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kern w:val="0"/>
                <w:sz w:val="22"/>
                <w:szCs w:val="22"/>
              </w:rPr>
            </w:pPr>
            <w:r>
              <w:rPr>
                <w:rFonts w:hint="eastAsia" w:ascii="仿宋" w:hAnsi="仿宋" w:eastAsia="仿宋" w:cs="宋体"/>
                <w:kern w:val="0"/>
                <w:sz w:val="22"/>
                <w:szCs w:val="22"/>
              </w:rPr>
              <w:t xml:space="preserve">202,790.00 </w:t>
            </w:r>
          </w:p>
        </w:tc>
      </w:tr>
      <w:tr>
        <w:tblPrEx>
          <w:tblCellMar>
            <w:top w:w="0" w:type="dxa"/>
            <w:left w:w="108" w:type="dxa"/>
            <w:bottom w:w="0" w:type="dxa"/>
            <w:right w:w="108" w:type="dxa"/>
          </w:tblCellMar>
        </w:tblPrEx>
        <w:trPr>
          <w:trHeight w:val="459" w:hRule="atLeast"/>
          <w:jc w:val="center"/>
        </w:trPr>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设计费</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kern w:val="0"/>
                <w:sz w:val="22"/>
                <w:szCs w:val="22"/>
              </w:rPr>
            </w:pPr>
            <w:r>
              <w:rPr>
                <w:rFonts w:hint="eastAsia" w:ascii="仿宋" w:hAnsi="仿宋" w:eastAsia="仿宋" w:cs="宋体"/>
                <w:kern w:val="0"/>
                <w:sz w:val="22"/>
                <w:szCs w:val="22"/>
              </w:rPr>
              <w:t xml:space="preserve">116,100.00 </w:t>
            </w:r>
          </w:p>
        </w:tc>
      </w:tr>
      <w:tr>
        <w:tblPrEx>
          <w:tblCellMar>
            <w:top w:w="0" w:type="dxa"/>
            <w:left w:w="108" w:type="dxa"/>
            <w:bottom w:w="0" w:type="dxa"/>
            <w:right w:w="108" w:type="dxa"/>
          </w:tblCellMar>
        </w:tblPrEx>
        <w:trPr>
          <w:trHeight w:val="459" w:hRule="atLeast"/>
          <w:jc w:val="center"/>
        </w:trPr>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清单控制编制费</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kern w:val="0"/>
                <w:sz w:val="22"/>
                <w:szCs w:val="22"/>
              </w:rPr>
            </w:pPr>
            <w:r>
              <w:rPr>
                <w:rFonts w:hint="eastAsia" w:ascii="仿宋" w:hAnsi="仿宋" w:eastAsia="仿宋" w:cs="宋体"/>
                <w:kern w:val="0"/>
                <w:sz w:val="22"/>
                <w:szCs w:val="22"/>
              </w:rPr>
              <w:t xml:space="preserve">73,100.00 </w:t>
            </w:r>
          </w:p>
        </w:tc>
      </w:tr>
      <w:tr>
        <w:tblPrEx>
          <w:tblCellMar>
            <w:top w:w="0" w:type="dxa"/>
            <w:left w:w="108" w:type="dxa"/>
            <w:bottom w:w="0" w:type="dxa"/>
            <w:right w:w="108" w:type="dxa"/>
          </w:tblCellMar>
        </w:tblPrEx>
        <w:trPr>
          <w:trHeight w:val="459" w:hRule="atLeast"/>
          <w:jc w:val="center"/>
        </w:trPr>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小计</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bCs/>
                <w:kern w:val="0"/>
                <w:sz w:val="22"/>
                <w:szCs w:val="22"/>
              </w:rPr>
            </w:pPr>
            <w:r>
              <w:rPr>
                <w:rFonts w:hint="eastAsia" w:ascii="仿宋" w:hAnsi="仿宋" w:eastAsia="仿宋" w:cs="宋体"/>
                <w:b/>
                <w:bCs/>
                <w:kern w:val="0"/>
                <w:sz w:val="22"/>
                <w:szCs w:val="22"/>
              </w:rPr>
              <w:t xml:space="preserve">8,787,539.18 </w:t>
            </w:r>
          </w:p>
        </w:tc>
      </w:tr>
      <w:tr>
        <w:tblPrEx>
          <w:tblCellMar>
            <w:top w:w="0" w:type="dxa"/>
            <w:left w:w="108" w:type="dxa"/>
            <w:bottom w:w="0" w:type="dxa"/>
            <w:right w:w="108" w:type="dxa"/>
          </w:tblCellMar>
        </w:tblPrEx>
        <w:trPr>
          <w:trHeight w:val="459" w:hRule="atLeast"/>
          <w:jc w:val="center"/>
        </w:trPr>
        <w:tc>
          <w:tcPr>
            <w:tcW w:w="32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全民义务植树基地建设工程</w:t>
            </w:r>
          </w:p>
        </w:tc>
        <w:tc>
          <w:tcPr>
            <w:tcW w:w="19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工程款</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kern w:val="0"/>
                <w:sz w:val="22"/>
                <w:szCs w:val="22"/>
              </w:rPr>
            </w:pPr>
            <w:r>
              <w:rPr>
                <w:rFonts w:hint="eastAsia" w:ascii="仿宋" w:hAnsi="仿宋" w:eastAsia="仿宋" w:cs="宋体"/>
                <w:kern w:val="0"/>
                <w:sz w:val="22"/>
                <w:szCs w:val="22"/>
              </w:rPr>
              <w:t xml:space="preserve">1,031,815.00 </w:t>
            </w:r>
          </w:p>
        </w:tc>
      </w:tr>
      <w:tr>
        <w:tblPrEx>
          <w:tblCellMar>
            <w:top w:w="0" w:type="dxa"/>
            <w:left w:w="108" w:type="dxa"/>
            <w:bottom w:w="0" w:type="dxa"/>
            <w:right w:w="108" w:type="dxa"/>
          </w:tblCellMar>
        </w:tblPrEx>
        <w:trPr>
          <w:trHeight w:val="459" w:hRule="atLeast"/>
          <w:jc w:val="center"/>
        </w:trPr>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设计费</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kern w:val="0"/>
                <w:sz w:val="22"/>
                <w:szCs w:val="22"/>
              </w:rPr>
            </w:pPr>
            <w:r>
              <w:rPr>
                <w:rFonts w:hint="eastAsia" w:ascii="仿宋" w:hAnsi="仿宋" w:eastAsia="仿宋" w:cs="宋体"/>
                <w:kern w:val="0"/>
                <w:sz w:val="22"/>
                <w:szCs w:val="22"/>
              </w:rPr>
              <w:t xml:space="preserve">95,000.00 </w:t>
            </w:r>
          </w:p>
        </w:tc>
      </w:tr>
      <w:tr>
        <w:tblPrEx>
          <w:tblCellMar>
            <w:top w:w="0" w:type="dxa"/>
            <w:left w:w="108" w:type="dxa"/>
            <w:bottom w:w="0" w:type="dxa"/>
            <w:right w:w="108" w:type="dxa"/>
          </w:tblCellMar>
        </w:tblPrEx>
        <w:trPr>
          <w:trHeight w:val="459" w:hRule="atLeast"/>
          <w:jc w:val="center"/>
        </w:trPr>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实施方案编制费</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kern w:val="0"/>
                <w:sz w:val="22"/>
                <w:szCs w:val="22"/>
              </w:rPr>
            </w:pPr>
            <w:r>
              <w:rPr>
                <w:rFonts w:hint="eastAsia" w:ascii="仿宋" w:hAnsi="仿宋" w:eastAsia="仿宋" w:cs="宋体"/>
                <w:kern w:val="0"/>
                <w:sz w:val="22"/>
                <w:szCs w:val="22"/>
              </w:rPr>
              <w:t xml:space="preserve">50,000.00 </w:t>
            </w:r>
          </w:p>
        </w:tc>
      </w:tr>
      <w:tr>
        <w:tblPrEx>
          <w:tblCellMar>
            <w:top w:w="0" w:type="dxa"/>
            <w:left w:w="108" w:type="dxa"/>
            <w:bottom w:w="0" w:type="dxa"/>
            <w:right w:w="108" w:type="dxa"/>
          </w:tblCellMar>
        </w:tblPrEx>
        <w:trPr>
          <w:trHeight w:val="459" w:hRule="atLeast"/>
          <w:jc w:val="center"/>
        </w:trPr>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清单控制编制费</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kern w:val="0"/>
                <w:sz w:val="22"/>
                <w:szCs w:val="22"/>
              </w:rPr>
            </w:pPr>
            <w:r>
              <w:rPr>
                <w:rFonts w:hint="eastAsia" w:ascii="仿宋" w:hAnsi="仿宋" w:eastAsia="仿宋" w:cs="宋体"/>
                <w:kern w:val="0"/>
                <w:sz w:val="22"/>
                <w:szCs w:val="22"/>
              </w:rPr>
              <w:t xml:space="preserve">46,500.00 </w:t>
            </w:r>
          </w:p>
        </w:tc>
      </w:tr>
      <w:tr>
        <w:tblPrEx>
          <w:tblCellMar>
            <w:top w:w="0" w:type="dxa"/>
            <w:left w:w="108" w:type="dxa"/>
            <w:bottom w:w="0" w:type="dxa"/>
            <w:right w:w="108" w:type="dxa"/>
          </w:tblCellMar>
        </w:tblPrEx>
        <w:trPr>
          <w:trHeight w:val="459" w:hRule="atLeast"/>
          <w:jc w:val="center"/>
        </w:trPr>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工程监理费</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kern w:val="0"/>
                <w:sz w:val="22"/>
                <w:szCs w:val="22"/>
              </w:rPr>
            </w:pPr>
            <w:r>
              <w:rPr>
                <w:rFonts w:hint="eastAsia" w:ascii="仿宋" w:hAnsi="仿宋" w:eastAsia="仿宋" w:cs="宋体"/>
                <w:kern w:val="0"/>
                <w:sz w:val="22"/>
                <w:szCs w:val="22"/>
              </w:rPr>
              <w:t xml:space="preserve">24,500.00 </w:t>
            </w:r>
          </w:p>
        </w:tc>
      </w:tr>
      <w:tr>
        <w:tblPrEx>
          <w:tblCellMar>
            <w:top w:w="0" w:type="dxa"/>
            <w:left w:w="108" w:type="dxa"/>
            <w:bottom w:w="0" w:type="dxa"/>
            <w:right w:w="108" w:type="dxa"/>
          </w:tblCellMar>
        </w:tblPrEx>
        <w:trPr>
          <w:trHeight w:val="459" w:hRule="atLeast"/>
          <w:jc w:val="center"/>
        </w:trPr>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kern w:val="0"/>
                <w:sz w:val="22"/>
                <w:szCs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小计</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bCs/>
                <w:kern w:val="0"/>
                <w:sz w:val="22"/>
                <w:szCs w:val="22"/>
              </w:rPr>
            </w:pPr>
            <w:r>
              <w:rPr>
                <w:rFonts w:hint="eastAsia" w:ascii="仿宋" w:hAnsi="仿宋" w:eastAsia="仿宋" w:cs="宋体"/>
                <w:b/>
                <w:bCs/>
                <w:kern w:val="0"/>
                <w:sz w:val="22"/>
                <w:szCs w:val="22"/>
              </w:rPr>
              <w:t xml:space="preserve">1,247,815.00 </w:t>
            </w:r>
          </w:p>
        </w:tc>
      </w:tr>
      <w:tr>
        <w:tblPrEx>
          <w:tblCellMar>
            <w:top w:w="0" w:type="dxa"/>
            <w:left w:w="108" w:type="dxa"/>
            <w:bottom w:w="0" w:type="dxa"/>
            <w:right w:w="108" w:type="dxa"/>
          </w:tblCellMar>
        </w:tblPrEx>
        <w:trPr>
          <w:trHeight w:val="459" w:hRule="atLeast"/>
          <w:jc w:val="center"/>
        </w:trPr>
        <w:tc>
          <w:tcPr>
            <w:tcW w:w="32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　</w:t>
            </w:r>
          </w:p>
        </w:tc>
        <w:tc>
          <w:tcPr>
            <w:tcW w:w="1920"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广告加固费</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bCs/>
                <w:kern w:val="0"/>
                <w:sz w:val="22"/>
                <w:szCs w:val="22"/>
              </w:rPr>
            </w:pPr>
            <w:r>
              <w:rPr>
                <w:rFonts w:hint="eastAsia" w:ascii="仿宋" w:hAnsi="仿宋" w:eastAsia="仿宋" w:cs="宋体"/>
                <w:b/>
                <w:bCs/>
                <w:kern w:val="0"/>
                <w:sz w:val="22"/>
                <w:szCs w:val="22"/>
              </w:rPr>
              <w:t xml:space="preserve">20,000.00 </w:t>
            </w:r>
          </w:p>
        </w:tc>
      </w:tr>
      <w:tr>
        <w:tblPrEx>
          <w:tblCellMar>
            <w:top w:w="0" w:type="dxa"/>
            <w:left w:w="108" w:type="dxa"/>
            <w:bottom w:w="0" w:type="dxa"/>
            <w:right w:w="108" w:type="dxa"/>
          </w:tblCellMar>
        </w:tblPrEx>
        <w:trPr>
          <w:trHeight w:val="459" w:hRule="atLeast"/>
          <w:jc w:val="center"/>
        </w:trPr>
        <w:tc>
          <w:tcPr>
            <w:tcW w:w="518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2140" w:type="dxa"/>
            <w:tcBorders>
              <w:top w:val="nil"/>
              <w:left w:val="nil"/>
              <w:bottom w:val="single" w:color="auto" w:sz="4" w:space="0"/>
              <w:right w:val="single" w:color="auto" w:sz="4" w:space="0"/>
            </w:tcBorders>
            <w:shd w:val="clear" w:color="auto" w:fill="auto"/>
            <w:noWrap/>
            <w:vAlign w:val="center"/>
          </w:tcPr>
          <w:p>
            <w:pPr>
              <w:widowControl/>
              <w:jc w:val="right"/>
              <w:rPr>
                <w:rFonts w:ascii="仿宋" w:hAnsi="仿宋" w:eastAsia="仿宋" w:cs="宋体"/>
                <w:b/>
                <w:bCs/>
                <w:kern w:val="0"/>
                <w:sz w:val="22"/>
                <w:szCs w:val="22"/>
              </w:rPr>
            </w:pPr>
            <w:r>
              <w:rPr>
                <w:rFonts w:hint="eastAsia" w:ascii="仿宋" w:hAnsi="仿宋" w:eastAsia="仿宋" w:cs="宋体"/>
                <w:b/>
                <w:bCs/>
                <w:kern w:val="0"/>
                <w:sz w:val="22"/>
                <w:szCs w:val="22"/>
              </w:rPr>
              <w:t xml:space="preserve">18,087,620.44 </w:t>
            </w:r>
          </w:p>
        </w:tc>
      </w:tr>
    </w:tbl>
    <w:p>
      <w:pPr>
        <w:tabs>
          <w:tab w:val="left" w:pos="1182"/>
        </w:tabs>
        <w:spacing w:line="600" w:lineRule="exact"/>
        <w:ind w:firstLine="600" w:firstLineChars="200"/>
        <w:rPr>
          <w:rFonts w:ascii="仿宋" w:hAnsi="仿宋" w:eastAsia="仿宋" w:cs="仿宋"/>
          <w:sz w:val="30"/>
          <w:szCs w:val="30"/>
        </w:rPr>
      </w:pPr>
      <w:r>
        <w:rPr>
          <w:rFonts w:ascii="仿宋" w:hAnsi="仿宋" w:eastAsia="仿宋" w:cs="仿宋"/>
          <w:sz w:val="30"/>
          <w:szCs w:val="30"/>
        </w:rPr>
        <w:t>根据评价组的现场评价结果看：资金在拨付时都有完整的审批程序和手续，未发现套取、截留、挤占、挪用、虚列支出等情况。</w:t>
      </w:r>
    </w:p>
    <w:p>
      <w:pPr>
        <w:tabs>
          <w:tab w:val="left" w:pos="1560"/>
        </w:tabs>
        <w:spacing w:line="60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5</w:t>
      </w:r>
      <w:r>
        <w:rPr>
          <w:rFonts w:ascii="仿宋" w:hAnsi="仿宋" w:eastAsia="仿宋" w:cs="仿宋"/>
          <w:b/>
          <w:bCs/>
          <w:sz w:val="30"/>
          <w:szCs w:val="30"/>
        </w:rPr>
        <w:t>.项目实施情况</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南山皂荚创新示范园绿化工程，依据运城市南山生态修复指挥部文件《关于南山皂荚示范园绿化工程的批复》（运南发字〔2017〕2号）设立，项目工程主要内容包括盐湖区西姚村、义同村等实施1600亩皂荚创新示范园。</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2017年3月7日，运城市盐湖区林业局委托运城市宇衡工程招标代理有限公司进行资格预审，经过资格预审审查委员会审查，确定资格预审入围单位。2017年3月9日通过竞争性陈述会确定施工单位。</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工程建设有关单位如下：</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项目单位：运城市盐湖区林业局</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设计单位：山西中涛园林景观工程设计监理有限公司</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监理单位：运城市天宇建设监理有限公司</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施工单位：鄢陵县欣源园林有限公司（1标段）</w:t>
      </w:r>
    </w:p>
    <w:p>
      <w:pPr>
        <w:tabs>
          <w:tab w:val="left" w:pos="1182"/>
        </w:tabs>
        <w:spacing w:line="600" w:lineRule="exact"/>
        <w:ind w:firstLine="2100" w:firstLineChars="700"/>
        <w:rPr>
          <w:rFonts w:ascii="仿宋" w:hAnsi="仿宋" w:eastAsia="仿宋" w:cs="仿宋"/>
          <w:sz w:val="30"/>
          <w:szCs w:val="30"/>
        </w:rPr>
      </w:pPr>
      <w:r>
        <w:rPr>
          <w:rFonts w:hint="eastAsia" w:ascii="仿宋" w:hAnsi="仿宋" w:eastAsia="仿宋" w:cs="仿宋"/>
          <w:sz w:val="30"/>
          <w:szCs w:val="30"/>
        </w:rPr>
        <w:t>河北建设集团园林工程有限公司（2标段）</w:t>
      </w:r>
    </w:p>
    <w:p>
      <w:pPr>
        <w:tabs>
          <w:tab w:val="left" w:pos="1182"/>
        </w:tabs>
        <w:spacing w:line="600" w:lineRule="exact"/>
        <w:ind w:firstLine="2100" w:firstLineChars="700"/>
        <w:rPr>
          <w:rFonts w:ascii="仿宋" w:hAnsi="仿宋" w:eastAsia="仿宋" w:cs="仿宋"/>
          <w:sz w:val="30"/>
          <w:szCs w:val="30"/>
        </w:rPr>
      </w:pPr>
      <w:r>
        <w:rPr>
          <w:rFonts w:hint="eastAsia" w:ascii="仿宋" w:hAnsi="仿宋" w:eastAsia="仿宋" w:cs="仿宋"/>
          <w:sz w:val="30"/>
          <w:szCs w:val="30"/>
        </w:rPr>
        <w:t>绿艺园林建设有限公司（3标段）</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南山皂荚创新示范园绿化工程于2017年3月26日开工，2017年4月20日竣工，项目单位与监理单位分别于2017年12月、2018年12月对工程进行了两次验收，要求完成补栽工作并进行一次普浇。合同约定的养护期结束后，于2019年12月7日，施工单位、监理单位、项目单位共同完成了对项目的验收。</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（2）运城市市级荒滩造林绿化工程，依据运城市人民政府常务会议纪要〔2019〕52次设立，项目工程主要内容包括盐湖区南城办银张村及解州镇曲村实施2000亩荒滩造林绿化工程。</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2019年11月18日，运城市盐湖区林业局委托山西弘昌工程项目管理在运城市公共资源交易中心公开招标，确定施工单位。</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工程建设有关单位如下：</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项目单位：运城市盐湖区林业局</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设计单位：山西达美林业规划设计有限公司</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监理单位：运城市新茂园林工程监理有限公司</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施工单位：山西晋路园林绿化工程有限公司（一标段）</w:t>
      </w:r>
    </w:p>
    <w:p>
      <w:pPr>
        <w:tabs>
          <w:tab w:val="left" w:pos="1182"/>
        </w:tabs>
        <w:spacing w:line="600" w:lineRule="exact"/>
        <w:ind w:firstLine="2100" w:firstLineChars="700"/>
        <w:rPr>
          <w:rFonts w:ascii="仿宋" w:hAnsi="仿宋" w:eastAsia="仿宋" w:cs="仿宋"/>
          <w:sz w:val="30"/>
          <w:szCs w:val="30"/>
        </w:rPr>
      </w:pPr>
      <w:r>
        <w:rPr>
          <w:rFonts w:hint="eastAsia" w:ascii="仿宋" w:hAnsi="仿宋" w:eastAsia="仿宋" w:cs="仿宋"/>
          <w:sz w:val="30"/>
          <w:szCs w:val="30"/>
        </w:rPr>
        <w:t>山西黄河园林绿化工程有限公司（二标段）</w:t>
      </w:r>
    </w:p>
    <w:p>
      <w:pPr>
        <w:tabs>
          <w:tab w:val="left" w:pos="1182"/>
        </w:tabs>
        <w:spacing w:line="600" w:lineRule="exact"/>
        <w:ind w:firstLine="2100" w:firstLineChars="700"/>
        <w:rPr>
          <w:rFonts w:ascii="仿宋" w:hAnsi="仿宋" w:eastAsia="仿宋" w:cs="仿宋"/>
          <w:sz w:val="30"/>
          <w:szCs w:val="30"/>
        </w:rPr>
      </w:pPr>
      <w:r>
        <w:rPr>
          <w:rFonts w:hint="eastAsia" w:ascii="仿宋" w:hAnsi="仿宋" w:eastAsia="仿宋" w:cs="仿宋"/>
          <w:sz w:val="30"/>
          <w:szCs w:val="30"/>
        </w:rPr>
        <w:t>山西万禾园林绿化工程有限公司（三标段）</w:t>
      </w:r>
    </w:p>
    <w:p>
      <w:pPr>
        <w:tabs>
          <w:tab w:val="left" w:pos="1182"/>
        </w:tabs>
        <w:spacing w:line="600" w:lineRule="exact"/>
        <w:ind w:firstLine="2100" w:firstLineChars="700"/>
        <w:rPr>
          <w:rFonts w:ascii="仿宋" w:hAnsi="仿宋" w:eastAsia="仿宋" w:cs="仿宋"/>
          <w:sz w:val="30"/>
          <w:szCs w:val="30"/>
        </w:rPr>
      </w:pPr>
      <w:r>
        <w:rPr>
          <w:rFonts w:hint="eastAsia" w:ascii="仿宋" w:hAnsi="仿宋" w:eastAsia="仿宋" w:cs="仿宋"/>
          <w:sz w:val="30"/>
          <w:szCs w:val="30"/>
        </w:rPr>
        <w:t>临汾市绿博莱绿化工程有限公司（四标段）</w:t>
      </w:r>
    </w:p>
    <w:p>
      <w:pPr>
        <w:tabs>
          <w:tab w:val="left" w:pos="1182"/>
        </w:tabs>
        <w:spacing w:line="600" w:lineRule="exact"/>
        <w:ind w:firstLine="2100" w:firstLineChars="700"/>
        <w:rPr>
          <w:rFonts w:ascii="仿宋" w:hAnsi="仿宋" w:eastAsia="仿宋" w:cs="仿宋"/>
          <w:sz w:val="30"/>
          <w:szCs w:val="30"/>
        </w:rPr>
      </w:pPr>
      <w:r>
        <w:rPr>
          <w:rFonts w:hint="eastAsia" w:ascii="仿宋" w:hAnsi="仿宋" w:eastAsia="仿宋" w:cs="仿宋"/>
          <w:sz w:val="30"/>
          <w:szCs w:val="30"/>
        </w:rPr>
        <w:t>山西惠临市政工程有限公司（五标段）</w:t>
      </w:r>
    </w:p>
    <w:p>
      <w:pPr>
        <w:tabs>
          <w:tab w:val="left" w:pos="1182"/>
        </w:tabs>
        <w:spacing w:line="600" w:lineRule="exact"/>
        <w:ind w:firstLine="2100" w:firstLineChars="700"/>
        <w:rPr>
          <w:rFonts w:ascii="仿宋" w:hAnsi="仿宋" w:eastAsia="仿宋" w:cs="仿宋"/>
          <w:sz w:val="30"/>
          <w:szCs w:val="30"/>
        </w:rPr>
      </w:pPr>
      <w:r>
        <w:rPr>
          <w:rFonts w:hint="eastAsia" w:ascii="仿宋" w:hAnsi="仿宋" w:eastAsia="仿宋" w:cs="仿宋"/>
          <w:sz w:val="30"/>
          <w:szCs w:val="30"/>
        </w:rPr>
        <w:t>许昌欣源生态园林有限公司（六标段）</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运城市市级荒滩造林绿化工程于2019年11月25日开工，2020年1月8日竣工，项目单位与监理单位于2020年1月对工程进行了初次验收，要求完成补栽工作并进行一次普浇。</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运城市互联网+全民义务植树基地绿化工程，依据运城市人民政府常务会议纪要〔2019〕52次、运城市盐湖区人民政府常务会议纪要〔2019〕第3次设立，项目工程主要内容包括盐湖区蚕坊村实施1000亩互联网+义务植树基地每年200亩，分5年实施。</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2019年11月18日，运城市盐湖区林业局委托山西弘昌工程项目管理在运城市公共资源交易中心公开招标，确定施工单位。</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工程建设有关单位如下：</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项目单位：运城市盐湖区林业局</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设计单位：北京清大原点建筑设计有限公司太原分公司</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监理单位：运城市博星工程建设监理有限公司</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施工单位：运城市风陵渡开发区黄河花木有限公司</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运城市互联网+全民义务植树基地绿化工程一期工程于2019年11月25日开工，2019年12月25日竣工，项目单位与监理单位于2019年12月对工程进行了初次验收，要求完成补栽工作并进行一次普浇。</w:t>
      </w:r>
    </w:p>
    <w:p>
      <w:pPr>
        <w:autoSpaceDE w:val="0"/>
        <w:autoSpaceDN w:val="0"/>
        <w:adjustRightInd w:val="0"/>
        <w:ind w:firstLine="602" w:firstLineChars="200"/>
        <w:rPr>
          <w:rFonts w:ascii="仿宋" w:hAnsi="仿宋" w:eastAsia="仿宋" w:cs="仿宋"/>
          <w:b/>
          <w:bCs/>
          <w:sz w:val="30"/>
          <w:szCs w:val="30"/>
        </w:rPr>
      </w:pPr>
      <w:r>
        <w:rPr>
          <w:rFonts w:hint="eastAsia" w:ascii="仿宋" w:hAnsi="仿宋" w:eastAsia="仿宋" w:cs="仿宋"/>
          <w:b/>
          <w:bCs/>
          <w:sz w:val="30"/>
          <w:szCs w:val="30"/>
        </w:rPr>
        <w:t>6.项目涉及的相关方</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本次项目涉及的相关方包括：</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（1）财政拨款部门：运城市财政局；</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（2）项目主管单位：运城市规划和自然资源局；</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（3）项目实施单位：运城市盐湖区林业局；</w:t>
      </w:r>
    </w:p>
    <w:p>
      <w:pPr>
        <w:tabs>
          <w:tab w:val="left" w:pos="1182"/>
        </w:tabs>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（4）项目主要受益群体：项目所在地周边群众。</w:t>
      </w:r>
    </w:p>
    <w:p>
      <w:pPr>
        <w:pStyle w:val="3"/>
        <w:spacing w:before="0" w:after="0" w:line="360" w:lineRule="auto"/>
        <w:ind w:firstLine="602" w:firstLineChars="200"/>
        <w:rPr>
          <w:rFonts w:ascii="仿宋" w:hAnsi="仿宋" w:eastAsia="仿宋"/>
          <w:color w:val="000000"/>
          <w:sz w:val="30"/>
          <w:szCs w:val="30"/>
        </w:rPr>
      </w:pPr>
      <w:bookmarkStart w:id="4" w:name="_Toc24633788"/>
      <w:r>
        <w:rPr>
          <w:rFonts w:ascii="仿宋" w:hAnsi="仿宋" w:eastAsia="仿宋"/>
          <w:color w:val="000000"/>
          <w:sz w:val="30"/>
          <w:szCs w:val="30"/>
        </w:rPr>
        <w:t>（二）项目绩效目标</w:t>
      </w:r>
      <w:bookmarkEnd w:id="4"/>
    </w:p>
    <w:p>
      <w:pPr>
        <w:tabs>
          <w:tab w:val="left" w:pos="1182"/>
        </w:tabs>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项目总目标：通过荒滩绿化工程的建设，带动当地旅游经济的发展，提高南山绿化形象，改善周边环境，美化生活环境，提高空气质量，提高附近居民的幸福感。</w:t>
      </w:r>
    </w:p>
    <w:p>
      <w:pPr>
        <w:tabs>
          <w:tab w:val="left" w:pos="1182"/>
        </w:tabs>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分目标：</w:t>
      </w:r>
    </w:p>
    <w:p>
      <w:pPr>
        <w:tabs>
          <w:tab w:val="left" w:pos="1182"/>
        </w:tabs>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1. ①皂荚创新科技示范园栽植工程，栽植面积1600亩，树种主要为皂荚，通道及边角地方以侧柏增绿；②荒滩绿化工程，绿化面积2000亩，以皂荚树为主，结合群众意愿，通道及边角地方以侧柏增绿；③互联网+全民义务植树基地建设工程，每年植树200亩，分五年进行。</w:t>
      </w:r>
    </w:p>
    <w:p>
      <w:pPr>
        <w:tabs>
          <w:tab w:val="left" w:pos="1182"/>
        </w:tabs>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2. 工程质量达标,验收合格；</w:t>
      </w:r>
    </w:p>
    <w:p>
      <w:pPr>
        <w:tabs>
          <w:tab w:val="left" w:pos="1182"/>
        </w:tabs>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3. 在规定时间内完工；</w:t>
      </w:r>
    </w:p>
    <w:p>
      <w:pPr>
        <w:tabs>
          <w:tab w:val="left" w:pos="1182"/>
        </w:tabs>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 xml:space="preserve">4. 工程决算金额不超过2000万元； </w:t>
      </w:r>
    </w:p>
    <w:p>
      <w:pPr>
        <w:tabs>
          <w:tab w:val="left" w:pos="1182"/>
        </w:tabs>
        <w:spacing w:line="600" w:lineRule="exact"/>
        <w:ind w:firstLine="600" w:firstLineChars="200"/>
        <w:rPr>
          <w:rFonts w:ascii="仿宋" w:hAnsi="仿宋" w:eastAsia="仿宋"/>
          <w:sz w:val="30"/>
          <w:szCs w:val="30"/>
        </w:rPr>
      </w:pPr>
      <w:r>
        <w:rPr>
          <w:rFonts w:hint="eastAsia" w:ascii="仿宋" w:hAnsi="仿宋" w:eastAsia="仿宋" w:cs="宋体"/>
          <w:sz w:val="30"/>
          <w:szCs w:val="30"/>
        </w:rPr>
        <w:t>5. 受益群众对该项目的满意度达到95%以上</w:t>
      </w:r>
      <w:r>
        <w:rPr>
          <w:rFonts w:hint="eastAsia" w:ascii="仿宋" w:hAnsi="仿宋" w:eastAsia="仿宋"/>
          <w:sz w:val="30"/>
          <w:szCs w:val="30"/>
        </w:rPr>
        <w:t>。</w:t>
      </w:r>
    </w:p>
    <w:p>
      <w:pPr>
        <w:pStyle w:val="2"/>
        <w:spacing w:before="0" w:after="0" w:line="360" w:lineRule="auto"/>
        <w:ind w:firstLine="602" w:firstLineChars="200"/>
        <w:rPr>
          <w:rFonts w:ascii="仿宋" w:hAnsi="仿宋" w:eastAsia="仿宋" w:cs="仿宋"/>
          <w:bCs w:val="0"/>
          <w:color w:val="000000"/>
          <w:sz w:val="30"/>
          <w:szCs w:val="30"/>
        </w:rPr>
      </w:pPr>
      <w:bookmarkStart w:id="5" w:name="_Toc24633789"/>
      <w:r>
        <w:rPr>
          <w:rFonts w:hint="eastAsia" w:ascii="仿宋" w:hAnsi="仿宋" w:eastAsia="仿宋" w:cs="仿宋"/>
          <w:bCs w:val="0"/>
          <w:color w:val="000000"/>
          <w:sz w:val="30"/>
          <w:szCs w:val="30"/>
        </w:rPr>
        <w:t>二、绩效评价工作情况</w:t>
      </w:r>
      <w:bookmarkEnd w:id="5"/>
    </w:p>
    <w:p>
      <w:pPr>
        <w:pStyle w:val="2"/>
        <w:spacing w:before="0" w:after="0" w:line="360" w:lineRule="auto"/>
        <w:ind w:firstLine="602" w:firstLineChars="200"/>
        <w:rPr>
          <w:rFonts w:ascii="仿宋" w:hAnsi="仿宋" w:eastAsia="仿宋" w:cs="仿宋"/>
          <w:bCs w:val="0"/>
          <w:color w:val="000000"/>
          <w:sz w:val="30"/>
          <w:szCs w:val="30"/>
        </w:rPr>
      </w:pPr>
      <w:bookmarkStart w:id="6" w:name="_Toc24633790"/>
      <w:r>
        <w:rPr>
          <w:rFonts w:ascii="仿宋" w:hAnsi="仿宋" w:eastAsia="仿宋" w:cs="仿宋"/>
          <w:bCs w:val="0"/>
          <w:color w:val="000000"/>
          <w:sz w:val="30"/>
          <w:szCs w:val="30"/>
        </w:rPr>
        <w:t>（一）绩效评价目的</w:t>
      </w:r>
      <w:bookmarkEnd w:id="6"/>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宋体"/>
          <w:kern w:val="0"/>
          <w:sz w:val="30"/>
          <w:szCs w:val="30"/>
        </w:rPr>
        <w:t>按照全面实施预算绩效管理要求，遵循规范的评价程序，运用科学合理的绩效指标体系和评价方法，对重点财政支出项目及其相关政策进行绩效评价。通过预算绩效评价，及时发现问题，提出改进意见和建议，为政府相关决策及以后年度预算资金安排提供参考，促进财政资金科学合理分配，强化部门（单位）的支出责任，提高预算管理水平和政策实施效果</w:t>
      </w:r>
      <w:r>
        <w:rPr>
          <w:rFonts w:ascii="仿宋" w:hAnsi="仿宋" w:eastAsia="仿宋" w:cs="??_GB2312"/>
          <w:kern w:val="0"/>
          <w:sz w:val="30"/>
          <w:szCs w:val="30"/>
        </w:rPr>
        <w:t>。</w:t>
      </w:r>
    </w:p>
    <w:p>
      <w:pPr>
        <w:pStyle w:val="3"/>
        <w:spacing w:before="0" w:after="0" w:line="360" w:lineRule="auto"/>
        <w:ind w:firstLine="602" w:firstLineChars="200"/>
        <w:rPr>
          <w:rFonts w:ascii="仿宋" w:hAnsi="仿宋" w:eastAsia="仿宋"/>
          <w:color w:val="000000"/>
          <w:sz w:val="30"/>
          <w:szCs w:val="30"/>
        </w:rPr>
      </w:pPr>
      <w:bookmarkStart w:id="7" w:name="_Toc24633791"/>
      <w:r>
        <w:rPr>
          <w:rFonts w:hint="eastAsia" w:ascii="仿宋" w:hAnsi="仿宋" w:eastAsia="仿宋"/>
          <w:color w:val="000000"/>
          <w:sz w:val="30"/>
          <w:szCs w:val="30"/>
        </w:rPr>
        <w:t>（二）评价对象和范围</w:t>
      </w:r>
      <w:bookmarkEnd w:id="7"/>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本次绩效评价的对象是</w:t>
      </w:r>
      <w:r>
        <w:rPr>
          <w:rFonts w:hint="eastAsia" w:ascii="仿宋" w:hAnsi="仿宋" w:eastAsia="仿宋" w:cs="宋体"/>
          <w:kern w:val="0"/>
          <w:sz w:val="30"/>
          <w:szCs w:val="30"/>
        </w:rPr>
        <w:t>南山生态修复荒滩绿化项目</w:t>
      </w:r>
      <w:r>
        <w:rPr>
          <w:rFonts w:hint="eastAsia" w:ascii="仿宋" w:hAnsi="仿宋" w:eastAsia="仿宋" w:cs="??_GB2312"/>
          <w:kern w:val="0"/>
          <w:sz w:val="30"/>
          <w:szCs w:val="30"/>
        </w:rPr>
        <w:t>，2019年8月23日，根据《运城市财政局关于拨付南山生态修复项目政府债券资金的通知》（运财资环</w:t>
      </w:r>
      <w:r>
        <w:rPr>
          <w:rFonts w:hint="eastAsia" w:ascii="仿宋" w:hAnsi="仿宋" w:eastAsia="仿宋" w:cs="宋体"/>
          <w:kern w:val="0"/>
          <w:sz w:val="30"/>
          <w:szCs w:val="30"/>
        </w:rPr>
        <w:t>〔</w:t>
      </w:r>
      <w:r>
        <w:rPr>
          <w:rFonts w:hint="eastAsia" w:ascii="仿宋" w:hAnsi="仿宋" w:eastAsia="仿宋" w:cs="??_GB2312"/>
          <w:kern w:val="0"/>
          <w:sz w:val="30"/>
          <w:szCs w:val="30"/>
        </w:rPr>
        <w:t>2017</w:t>
      </w:r>
      <w:r>
        <w:rPr>
          <w:rFonts w:hint="eastAsia" w:ascii="仿宋" w:hAnsi="仿宋" w:eastAsia="仿宋" w:cs="宋体"/>
          <w:kern w:val="0"/>
          <w:sz w:val="30"/>
          <w:szCs w:val="30"/>
        </w:rPr>
        <w:t>〕</w:t>
      </w:r>
      <w:r>
        <w:rPr>
          <w:rFonts w:hint="eastAsia" w:ascii="仿宋" w:hAnsi="仿宋" w:eastAsia="仿宋" w:cs="??_GB2312"/>
          <w:kern w:val="0"/>
          <w:sz w:val="30"/>
          <w:szCs w:val="30"/>
        </w:rPr>
        <w:t>3号）文件，下达了</w:t>
      </w:r>
      <w:r>
        <w:rPr>
          <w:rFonts w:hint="eastAsia" w:ascii="仿宋" w:hAnsi="仿宋" w:eastAsia="仿宋" w:cs="宋体"/>
          <w:kern w:val="0"/>
          <w:sz w:val="30"/>
          <w:szCs w:val="30"/>
        </w:rPr>
        <w:t>南山生态修复荒滩绿化</w:t>
      </w:r>
      <w:r>
        <w:rPr>
          <w:rFonts w:hint="eastAsia" w:ascii="仿宋" w:hAnsi="仿宋" w:eastAsia="仿宋" w:cs="??_GB2312"/>
          <w:kern w:val="0"/>
          <w:sz w:val="30"/>
          <w:szCs w:val="30"/>
        </w:rPr>
        <w:t>资金2000万元。</w:t>
      </w:r>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绩效评价范围为该资金产生的绩效以及为产生绩效所经历的各环节过程，具体绩效评价范围包括报备、决策、过程、产出和效益。</w:t>
      </w:r>
    </w:p>
    <w:p>
      <w:pPr>
        <w:pStyle w:val="3"/>
        <w:spacing w:before="0" w:after="0" w:line="360" w:lineRule="auto"/>
        <w:ind w:firstLine="602" w:firstLineChars="200"/>
        <w:rPr>
          <w:rFonts w:ascii="仿宋" w:hAnsi="仿宋" w:eastAsia="仿宋"/>
          <w:color w:val="000000"/>
          <w:sz w:val="30"/>
          <w:szCs w:val="30"/>
        </w:rPr>
      </w:pPr>
      <w:bookmarkStart w:id="8" w:name="_Toc24633792"/>
      <w:r>
        <w:rPr>
          <w:rFonts w:hint="eastAsia" w:ascii="仿宋" w:hAnsi="仿宋" w:eastAsia="仿宋"/>
          <w:color w:val="000000"/>
          <w:sz w:val="30"/>
          <w:szCs w:val="30"/>
        </w:rPr>
        <w:t>（三）评价依据</w:t>
      </w:r>
      <w:bookmarkEnd w:id="8"/>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宋体"/>
          <w:kern w:val="0"/>
          <w:sz w:val="30"/>
          <w:szCs w:val="30"/>
        </w:rPr>
        <w:t>评价依据是评价所依据的法律、法规规章、政策文件，包括但不限于：</w:t>
      </w:r>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 xml:space="preserve">1. </w:t>
      </w:r>
      <w:r>
        <w:rPr>
          <w:rFonts w:hint="eastAsia" w:ascii="仿宋" w:hAnsi="仿宋" w:eastAsia="仿宋" w:cs="宋体"/>
          <w:kern w:val="0"/>
          <w:sz w:val="30"/>
          <w:szCs w:val="30"/>
        </w:rPr>
        <w:t>《预算法》中华人民共和国主席令第</w:t>
      </w:r>
      <w:r>
        <w:rPr>
          <w:rFonts w:hint="eastAsia" w:ascii="仿宋" w:hAnsi="仿宋" w:eastAsia="仿宋" w:cs="??_GB2312"/>
          <w:kern w:val="0"/>
          <w:sz w:val="30"/>
          <w:szCs w:val="30"/>
        </w:rPr>
        <w:t>12</w:t>
      </w:r>
      <w:r>
        <w:rPr>
          <w:rFonts w:hint="eastAsia" w:ascii="仿宋" w:hAnsi="仿宋" w:eastAsia="仿宋" w:cs="宋体"/>
          <w:kern w:val="0"/>
          <w:sz w:val="30"/>
          <w:szCs w:val="30"/>
        </w:rPr>
        <w:t>号；</w:t>
      </w:r>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 xml:space="preserve">2. </w:t>
      </w:r>
      <w:r>
        <w:rPr>
          <w:rFonts w:hint="eastAsia" w:ascii="仿宋" w:hAnsi="仿宋" w:eastAsia="仿宋" w:cs="宋体"/>
          <w:kern w:val="0"/>
          <w:sz w:val="30"/>
          <w:szCs w:val="30"/>
        </w:rPr>
        <w:t>财政部关于印发《项目支出绩效评价管理办法》的通知（财预〔</w:t>
      </w:r>
      <w:r>
        <w:rPr>
          <w:rFonts w:hint="eastAsia" w:ascii="仿宋" w:hAnsi="仿宋" w:eastAsia="仿宋" w:cs="??_GB2312"/>
          <w:kern w:val="0"/>
          <w:sz w:val="30"/>
          <w:szCs w:val="30"/>
        </w:rPr>
        <w:t>2020</w:t>
      </w:r>
      <w:r>
        <w:rPr>
          <w:rFonts w:hint="eastAsia" w:ascii="仿宋" w:hAnsi="仿宋" w:eastAsia="仿宋" w:cs="宋体"/>
          <w:kern w:val="0"/>
          <w:sz w:val="30"/>
          <w:szCs w:val="30"/>
        </w:rPr>
        <w:t>〕</w:t>
      </w:r>
      <w:r>
        <w:rPr>
          <w:rFonts w:hint="eastAsia" w:ascii="仿宋" w:hAnsi="仿宋" w:eastAsia="仿宋" w:cs="??_GB2312"/>
          <w:kern w:val="0"/>
          <w:sz w:val="30"/>
          <w:szCs w:val="30"/>
        </w:rPr>
        <w:t xml:space="preserve">10 </w:t>
      </w:r>
      <w:r>
        <w:rPr>
          <w:rFonts w:hint="eastAsia" w:ascii="仿宋" w:hAnsi="仿宋" w:eastAsia="仿宋" w:cs="宋体"/>
          <w:kern w:val="0"/>
          <w:sz w:val="30"/>
          <w:szCs w:val="30"/>
        </w:rPr>
        <w:t>号）；</w:t>
      </w:r>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 xml:space="preserve">3. </w:t>
      </w:r>
      <w:r>
        <w:rPr>
          <w:rFonts w:hint="eastAsia" w:ascii="仿宋" w:hAnsi="仿宋" w:eastAsia="仿宋" w:cs="宋体"/>
          <w:kern w:val="0"/>
          <w:sz w:val="30"/>
          <w:szCs w:val="30"/>
        </w:rPr>
        <w:t>《会计师事务所财政支出绩效评价业务指引》（会协〔</w:t>
      </w:r>
      <w:r>
        <w:rPr>
          <w:rFonts w:hint="eastAsia" w:ascii="仿宋" w:hAnsi="仿宋" w:eastAsia="仿宋" w:cs="??_GB2312"/>
          <w:kern w:val="0"/>
          <w:sz w:val="30"/>
          <w:szCs w:val="30"/>
        </w:rPr>
        <w:t>2016</w:t>
      </w:r>
      <w:r>
        <w:rPr>
          <w:rFonts w:hint="eastAsia" w:ascii="仿宋" w:hAnsi="仿宋" w:eastAsia="仿宋" w:cs="宋体"/>
          <w:kern w:val="0"/>
          <w:sz w:val="30"/>
          <w:szCs w:val="30"/>
        </w:rPr>
        <w:t>〕</w:t>
      </w:r>
      <w:r>
        <w:rPr>
          <w:rFonts w:hint="eastAsia" w:ascii="仿宋" w:hAnsi="仿宋" w:eastAsia="仿宋" w:cs="??_GB2312"/>
          <w:kern w:val="0"/>
          <w:sz w:val="30"/>
          <w:szCs w:val="30"/>
        </w:rPr>
        <w:t>10</w:t>
      </w:r>
      <w:r>
        <w:rPr>
          <w:rFonts w:hint="eastAsia" w:ascii="仿宋" w:hAnsi="仿宋" w:eastAsia="仿宋" w:cs="宋体"/>
          <w:kern w:val="0"/>
          <w:sz w:val="30"/>
          <w:szCs w:val="30"/>
        </w:rPr>
        <w:t>号）；</w:t>
      </w:r>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 xml:space="preserve">4. </w:t>
      </w:r>
      <w:r>
        <w:rPr>
          <w:rFonts w:hint="eastAsia" w:ascii="仿宋" w:hAnsi="仿宋" w:eastAsia="仿宋" w:cs="宋体"/>
          <w:kern w:val="0"/>
          <w:sz w:val="30"/>
          <w:szCs w:val="30"/>
        </w:rPr>
        <w:t>《运城市发展和改革委员关于对运城市南山生态修复及绿化提升项目（一期）可研报告的批复》；</w:t>
      </w:r>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 xml:space="preserve">5. </w:t>
      </w:r>
      <w:r>
        <w:rPr>
          <w:rFonts w:hint="eastAsia" w:ascii="仿宋" w:hAnsi="仿宋" w:eastAsia="仿宋" w:cs="宋体"/>
          <w:kern w:val="0"/>
          <w:sz w:val="30"/>
          <w:szCs w:val="30"/>
        </w:rPr>
        <w:t>运城市财政局关于印发《运城市财政局</w:t>
      </w:r>
      <w:r>
        <w:rPr>
          <w:rFonts w:hint="eastAsia" w:ascii="仿宋" w:hAnsi="仿宋" w:eastAsia="仿宋" w:cs="??_GB2312"/>
          <w:kern w:val="0"/>
          <w:sz w:val="30"/>
          <w:szCs w:val="30"/>
        </w:rPr>
        <w:t>2020</w:t>
      </w:r>
      <w:r>
        <w:rPr>
          <w:rFonts w:hint="eastAsia" w:ascii="仿宋" w:hAnsi="仿宋" w:eastAsia="仿宋" w:cs="宋体"/>
          <w:kern w:val="0"/>
          <w:sz w:val="30"/>
          <w:szCs w:val="30"/>
        </w:rPr>
        <w:t>年预算绩效评价实施方案》的通知（运财监〔</w:t>
      </w:r>
      <w:r>
        <w:rPr>
          <w:rFonts w:hint="eastAsia" w:ascii="仿宋" w:hAnsi="仿宋" w:eastAsia="仿宋" w:cs="??_GB2312"/>
          <w:kern w:val="0"/>
          <w:sz w:val="30"/>
          <w:szCs w:val="30"/>
        </w:rPr>
        <w:t>2020</w:t>
      </w:r>
      <w:r>
        <w:rPr>
          <w:rFonts w:hint="eastAsia" w:ascii="仿宋" w:hAnsi="仿宋" w:eastAsia="仿宋" w:cs="宋体"/>
          <w:kern w:val="0"/>
          <w:sz w:val="30"/>
          <w:szCs w:val="30"/>
        </w:rPr>
        <w:t>〕</w:t>
      </w:r>
      <w:r>
        <w:rPr>
          <w:rFonts w:hint="eastAsia" w:ascii="仿宋" w:hAnsi="仿宋" w:eastAsia="仿宋" w:cs="??_GB2312"/>
          <w:kern w:val="0"/>
          <w:sz w:val="30"/>
          <w:szCs w:val="30"/>
        </w:rPr>
        <w:t>8</w:t>
      </w:r>
      <w:r>
        <w:rPr>
          <w:rFonts w:hint="eastAsia" w:ascii="仿宋" w:hAnsi="仿宋" w:eastAsia="仿宋" w:cs="宋体"/>
          <w:kern w:val="0"/>
          <w:sz w:val="30"/>
          <w:szCs w:val="30"/>
        </w:rPr>
        <w:t>号）；</w:t>
      </w:r>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 xml:space="preserve">6. </w:t>
      </w:r>
      <w:r>
        <w:rPr>
          <w:rFonts w:hint="eastAsia" w:ascii="仿宋" w:hAnsi="仿宋" w:eastAsia="仿宋" w:cs="宋体"/>
          <w:kern w:val="0"/>
          <w:sz w:val="30"/>
          <w:szCs w:val="30"/>
        </w:rPr>
        <w:t>其他有关的法律、法规规章、政策文件</w:t>
      </w:r>
      <w:r>
        <w:rPr>
          <w:rFonts w:hint="eastAsia" w:ascii="仿宋" w:hAnsi="仿宋" w:eastAsia="仿宋" w:cs="??_GB2312"/>
          <w:kern w:val="0"/>
          <w:sz w:val="30"/>
          <w:szCs w:val="30"/>
        </w:rPr>
        <w:t>。</w:t>
      </w:r>
    </w:p>
    <w:p>
      <w:pPr>
        <w:pStyle w:val="3"/>
        <w:spacing w:before="0" w:after="0" w:line="360" w:lineRule="auto"/>
        <w:ind w:firstLine="602" w:firstLineChars="200"/>
        <w:rPr>
          <w:rFonts w:ascii="仿宋" w:hAnsi="仿宋" w:eastAsia="仿宋"/>
          <w:color w:val="000000"/>
          <w:sz w:val="30"/>
          <w:szCs w:val="30"/>
        </w:rPr>
      </w:pPr>
      <w:bookmarkStart w:id="9" w:name="_Toc24633793"/>
      <w:r>
        <w:rPr>
          <w:rFonts w:ascii="仿宋" w:hAnsi="仿宋" w:eastAsia="仿宋"/>
          <w:color w:val="000000"/>
          <w:sz w:val="30"/>
          <w:szCs w:val="30"/>
        </w:rPr>
        <w:t>（</w:t>
      </w:r>
      <w:r>
        <w:rPr>
          <w:rFonts w:hint="eastAsia" w:ascii="仿宋" w:hAnsi="仿宋" w:eastAsia="仿宋"/>
          <w:color w:val="000000"/>
          <w:sz w:val="30"/>
          <w:szCs w:val="30"/>
        </w:rPr>
        <w:t>四</w:t>
      </w:r>
      <w:r>
        <w:rPr>
          <w:rFonts w:ascii="仿宋" w:hAnsi="仿宋" w:eastAsia="仿宋"/>
          <w:color w:val="000000"/>
          <w:sz w:val="30"/>
          <w:szCs w:val="30"/>
        </w:rPr>
        <w:t>）绩效评价原则</w:t>
      </w:r>
      <w:bookmarkEnd w:id="9"/>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w:t>
      </w:r>
      <w:r>
        <w:rPr>
          <w:rFonts w:hint="eastAsia" w:ascii="仿宋" w:hAnsi="仿宋" w:eastAsia="仿宋" w:cs="宋体"/>
          <w:color w:val="000000"/>
          <w:sz w:val="30"/>
          <w:szCs w:val="30"/>
        </w:rPr>
        <w:t>．科学公正的原则。运用科学合理的方法，按照规范的程序，对项目绩效进行客观、公正的反映。</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w:t>
      </w:r>
      <w:r>
        <w:rPr>
          <w:rFonts w:hint="eastAsia" w:ascii="仿宋" w:hAnsi="仿宋" w:eastAsia="仿宋" w:cs="宋体"/>
          <w:color w:val="000000"/>
          <w:sz w:val="30"/>
          <w:szCs w:val="30"/>
        </w:rPr>
        <w:t>．统筹兼顾的原则。单位自评、部门评价和财政评价应职责明确，各有侧重，相互衔接。</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w:t>
      </w:r>
      <w:r>
        <w:rPr>
          <w:rFonts w:hint="eastAsia" w:ascii="仿宋" w:hAnsi="仿宋" w:eastAsia="仿宋" w:cs="宋体"/>
          <w:color w:val="000000"/>
          <w:sz w:val="30"/>
          <w:szCs w:val="30"/>
        </w:rPr>
        <w:t>．激励约束。绩效评价结果应与预算安排、政策调整、改进管理实质性挂钩，体现奖优罚劣和激励相容导向，有效要安排、低效要压减、无效要问责。</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4</w:t>
      </w:r>
      <w:r>
        <w:rPr>
          <w:rFonts w:hint="eastAsia" w:ascii="仿宋" w:hAnsi="仿宋" w:eastAsia="仿宋" w:cs="宋体"/>
          <w:color w:val="000000"/>
          <w:sz w:val="30"/>
          <w:szCs w:val="30"/>
        </w:rPr>
        <w:t>．公开透明。绩效评价结果应依法依规公开，并自觉接受社会监督</w:t>
      </w:r>
      <w:r>
        <w:rPr>
          <w:rFonts w:ascii="仿宋" w:hAnsi="仿宋" w:eastAsia="仿宋"/>
          <w:color w:val="000000"/>
          <w:sz w:val="30"/>
          <w:szCs w:val="30"/>
        </w:rPr>
        <w:t>。</w:t>
      </w:r>
    </w:p>
    <w:p>
      <w:pPr>
        <w:pStyle w:val="3"/>
        <w:spacing w:before="0" w:after="0" w:line="360" w:lineRule="auto"/>
        <w:ind w:firstLine="602" w:firstLineChars="200"/>
        <w:rPr>
          <w:rFonts w:ascii="仿宋" w:hAnsi="仿宋" w:eastAsia="仿宋"/>
          <w:color w:val="000000"/>
          <w:sz w:val="30"/>
          <w:szCs w:val="30"/>
        </w:rPr>
      </w:pPr>
      <w:bookmarkStart w:id="10" w:name="_Toc24633794"/>
      <w:r>
        <w:rPr>
          <w:rFonts w:ascii="仿宋" w:hAnsi="仿宋" w:eastAsia="仿宋"/>
          <w:color w:val="000000"/>
          <w:sz w:val="30"/>
          <w:szCs w:val="30"/>
        </w:rPr>
        <w:t>（</w:t>
      </w:r>
      <w:r>
        <w:rPr>
          <w:rFonts w:hint="eastAsia" w:ascii="仿宋" w:hAnsi="仿宋" w:eastAsia="仿宋"/>
          <w:color w:val="000000"/>
          <w:sz w:val="30"/>
          <w:szCs w:val="30"/>
        </w:rPr>
        <w:t>五</w:t>
      </w:r>
      <w:r>
        <w:rPr>
          <w:rFonts w:ascii="仿宋" w:hAnsi="仿宋" w:eastAsia="仿宋"/>
          <w:color w:val="000000"/>
          <w:sz w:val="30"/>
          <w:szCs w:val="30"/>
        </w:rPr>
        <w:t>）评价指标体系及评分标准</w:t>
      </w:r>
      <w:bookmarkEnd w:id="10"/>
    </w:p>
    <w:p>
      <w:pPr>
        <w:spacing w:line="6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参照绩效评价的基本原理、原则和项目特点，评价组结合《项目支出绩效评价管理办法》、《运城市财政局</w:t>
      </w:r>
      <w:r>
        <w:rPr>
          <w:rFonts w:hint="eastAsia" w:ascii="仿宋" w:hAnsi="仿宋" w:eastAsia="仿宋"/>
          <w:color w:val="000000"/>
          <w:sz w:val="30"/>
          <w:szCs w:val="30"/>
        </w:rPr>
        <w:t>2020</w:t>
      </w:r>
      <w:r>
        <w:rPr>
          <w:rFonts w:hint="eastAsia" w:ascii="仿宋" w:hAnsi="仿宋" w:eastAsia="仿宋" w:cs="宋体"/>
          <w:color w:val="000000"/>
          <w:sz w:val="30"/>
          <w:szCs w:val="30"/>
        </w:rPr>
        <w:t>年预算绩效评价实施方案》等相关文件的要求，从报备（包括目标申报、项目监控、项目自评）、决策（包括项目立项、绩效目标、资金投入）、过程（包括资金管理、组织实施）、产出（数量、质量等）和效益五个维度进行评价。</w:t>
      </w:r>
    </w:p>
    <w:p>
      <w:pPr>
        <w:spacing w:line="6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根据《运城市财政局</w:t>
      </w:r>
      <w:r>
        <w:rPr>
          <w:rFonts w:hint="eastAsia" w:ascii="仿宋" w:hAnsi="仿宋" w:eastAsia="仿宋"/>
          <w:color w:val="000000"/>
          <w:sz w:val="30"/>
          <w:szCs w:val="30"/>
        </w:rPr>
        <w:t>2020</w:t>
      </w:r>
      <w:r>
        <w:rPr>
          <w:rFonts w:hint="eastAsia" w:ascii="仿宋" w:hAnsi="仿宋" w:eastAsia="仿宋" w:cs="宋体"/>
          <w:color w:val="000000"/>
          <w:sz w:val="30"/>
          <w:szCs w:val="30"/>
        </w:rPr>
        <w:t>年预算绩效评价实施方案》的文件精神，遵循相关性、重要性、可比性、系统性、经济性原则，形成了南山生态修复荒滩绿化项目的绩效评价指标体系，共</w:t>
      </w:r>
      <w:r>
        <w:rPr>
          <w:rFonts w:hint="eastAsia" w:ascii="仿宋" w:hAnsi="仿宋" w:eastAsia="仿宋"/>
          <w:color w:val="000000"/>
          <w:sz w:val="30"/>
          <w:szCs w:val="30"/>
        </w:rPr>
        <w:t>5</w:t>
      </w:r>
      <w:r>
        <w:rPr>
          <w:rFonts w:hint="eastAsia" w:ascii="仿宋" w:hAnsi="仿宋" w:eastAsia="仿宋" w:cs="宋体"/>
          <w:color w:val="000000"/>
          <w:sz w:val="30"/>
          <w:szCs w:val="30"/>
        </w:rPr>
        <w:t>个一级指标、15个二级指标、36个三级指标，其中针对本项目绩效目标设置了4个产出类指标和7个效益类指标</w:t>
      </w:r>
      <w:r>
        <w:rPr>
          <w:rFonts w:ascii="仿宋" w:hAnsi="仿宋" w:eastAsia="仿宋" w:cs="宋体"/>
          <w:color w:val="000000"/>
          <w:sz w:val="30"/>
          <w:szCs w:val="30"/>
        </w:rPr>
        <w:t>（指标框架体系</w:t>
      </w:r>
      <w:r>
        <w:rPr>
          <w:rFonts w:ascii="仿宋" w:hAnsi="仿宋" w:eastAsia="仿宋"/>
          <w:color w:val="000000"/>
          <w:sz w:val="30"/>
          <w:szCs w:val="30"/>
        </w:rPr>
        <w:t>详见附件1）</w:t>
      </w:r>
      <w:r>
        <w:rPr>
          <w:rFonts w:hint="eastAsia" w:ascii="仿宋" w:hAnsi="仿宋" w:eastAsia="仿宋"/>
          <w:color w:val="000000"/>
          <w:sz w:val="30"/>
          <w:szCs w:val="30"/>
        </w:rPr>
        <w:t>。</w:t>
      </w:r>
    </w:p>
    <w:p>
      <w:pPr>
        <w:pStyle w:val="3"/>
        <w:spacing w:before="0" w:after="0" w:line="360" w:lineRule="auto"/>
        <w:ind w:firstLine="602" w:firstLineChars="200"/>
        <w:rPr>
          <w:rFonts w:ascii="仿宋" w:hAnsi="仿宋" w:eastAsia="仿宋"/>
          <w:color w:val="000000"/>
          <w:sz w:val="30"/>
          <w:szCs w:val="30"/>
        </w:rPr>
      </w:pPr>
      <w:bookmarkStart w:id="11" w:name="_Toc24633795"/>
      <w:r>
        <w:rPr>
          <w:rFonts w:ascii="仿宋" w:hAnsi="仿宋" w:eastAsia="仿宋"/>
          <w:color w:val="000000"/>
          <w:sz w:val="30"/>
          <w:szCs w:val="30"/>
        </w:rPr>
        <w:t>（</w:t>
      </w:r>
      <w:r>
        <w:rPr>
          <w:rFonts w:hint="eastAsia" w:ascii="仿宋" w:hAnsi="仿宋" w:eastAsia="仿宋"/>
          <w:color w:val="000000"/>
          <w:sz w:val="30"/>
          <w:szCs w:val="30"/>
        </w:rPr>
        <w:t>六</w:t>
      </w:r>
      <w:r>
        <w:rPr>
          <w:rFonts w:ascii="仿宋" w:hAnsi="仿宋" w:eastAsia="仿宋"/>
          <w:color w:val="000000"/>
          <w:sz w:val="30"/>
          <w:szCs w:val="30"/>
        </w:rPr>
        <w:t>）评价方法</w:t>
      </w:r>
      <w:bookmarkEnd w:id="11"/>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本次绩效评价采用定性评价与定量评价相结合方法，以材料核查、访谈、座谈、问卷调查、选点抽查为基础，综合应用对比分析、因素分析、专家评议等方法对财政支出政策和预算资金绩效情况进行综合评价。</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w:t>
      </w:r>
      <w:r>
        <w:rPr>
          <w:rFonts w:hint="eastAsia" w:ascii="仿宋" w:hAnsi="仿宋" w:eastAsia="仿宋" w:cs="宋体"/>
          <w:color w:val="000000"/>
          <w:sz w:val="30"/>
          <w:szCs w:val="30"/>
        </w:rPr>
        <w:t>成本效益分析法。是指将投入与产出、效益进行关联性分析。</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w:t>
      </w:r>
      <w:r>
        <w:rPr>
          <w:rFonts w:hint="eastAsia" w:ascii="仿宋" w:hAnsi="仿宋" w:eastAsia="仿宋" w:cs="宋体"/>
          <w:color w:val="000000"/>
          <w:sz w:val="30"/>
          <w:szCs w:val="30"/>
        </w:rPr>
        <w:t>比较法。是指将实施情况与绩效目标、历史情况、不同部门和地区同类支出情况进行比较。</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w:t>
      </w:r>
      <w:r>
        <w:rPr>
          <w:rFonts w:hint="eastAsia" w:ascii="仿宋" w:hAnsi="仿宋" w:eastAsia="仿宋" w:cs="宋体"/>
          <w:color w:val="000000"/>
          <w:sz w:val="30"/>
          <w:szCs w:val="30"/>
        </w:rPr>
        <w:t>公众评判法。是指通过发放满意度调查表以调查问卷的形式对南山生态修复荒滩绿化项目进行评判，评价绩效目标实现程度。</w:t>
      </w:r>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评价实行百分制，等级划分为四档：</w:t>
      </w:r>
      <w:r>
        <w:rPr>
          <w:rFonts w:hint="eastAsia" w:ascii="仿宋" w:hAnsi="仿宋" w:eastAsia="仿宋"/>
          <w:color w:val="000000"/>
          <w:sz w:val="30"/>
          <w:szCs w:val="30"/>
        </w:rPr>
        <w:t>90</w:t>
      </w:r>
      <w:r>
        <w:rPr>
          <w:rFonts w:hint="eastAsia" w:ascii="仿宋" w:hAnsi="仿宋" w:eastAsia="仿宋" w:cs="宋体"/>
          <w:color w:val="000000"/>
          <w:sz w:val="30"/>
          <w:szCs w:val="30"/>
        </w:rPr>
        <w:t>（含）</w:t>
      </w:r>
      <w:r>
        <w:rPr>
          <w:rFonts w:hint="eastAsia" w:ascii="仿宋" w:hAnsi="仿宋" w:eastAsia="仿宋"/>
          <w:color w:val="000000"/>
          <w:sz w:val="30"/>
          <w:szCs w:val="30"/>
        </w:rPr>
        <w:t>-100</w:t>
      </w:r>
      <w:r>
        <w:rPr>
          <w:rFonts w:hint="eastAsia" w:ascii="仿宋" w:hAnsi="仿宋" w:eastAsia="仿宋" w:cs="宋体"/>
          <w:color w:val="000000"/>
          <w:sz w:val="30"/>
          <w:szCs w:val="30"/>
        </w:rPr>
        <w:t>分为优，</w:t>
      </w:r>
      <w:r>
        <w:rPr>
          <w:rFonts w:hint="eastAsia" w:ascii="仿宋" w:hAnsi="仿宋" w:eastAsia="仿宋"/>
          <w:color w:val="000000"/>
          <w:sz w:val="30"/>
          <w:szCs w:val="30"/>
        </w:rPr>
        <w:t>80</w:t>
      </w:r>
      <w:r>
        <w:rPr>
          <w:rFonts w:hint="eastAsia" w:ascii="仿宋" w:hAnsi="仿宋" w:eastAsia="仿宋" w:cs="宋体"/>
          <w:color w:val="000000"/>
          <w:sz w:val="30"/>
          <w:szCs w:val="30"/>
        </w:rPr>
        <w:t>（含）</w:t>
      </w:r>
      <w:r>
        <w:rPr>
          <w:rFonts w:hint="eastAsia" w:ascii="仿宋" w:hAnsi="仿宋" w:eastAsia="仿宋"/>
          <w:color w:val="000000"/>
          <w:sz w:val="30"/>
          <w:szCs w:val="30"/>
        </w:rPr>
        <w:t>-90</w:t>
      </w:r>
      <w:r>
        <w:rPr>
          <w:rFonts w:hint="eastAsia" w:ascii="仿宋" w:hAnsi="仿宋" w:eastAsia="仿宋" w:cs="宋体"/>
          <w:color w:val="000000"/>
          <w:sz w:val="30"/>
          <w:szCs w:val="30"/>
        </w:rPr>
        <w:t>分为良，</w:t>
      </w:r>
      <w:r>
        <w:rPr>
          <w:rFonts w:hint="eastAsia" w:ascii="仿宋" w:hAnsi="仿宋" w:eastAsia="仿宋"/>
          <w:color w:val="000000"/>
          <w:sz w:val="30"/>
          <w:szCs w:val="30"/>
        </w:rPr>
        <w:t>60</w:t>
      </w:r>
      <w:r>
        <w:rPr>
          <w:rFonts w:hint="eastAsia" w:ascii="仿宋" w:hAnsi="仿宋" w:eastAsia="仿宋" w:cs="宋体"/>
          <w:color w:val="000000"/>
          <w:sz w:val="30"/>
          <w:szCs w:val="30"/>
        </w:rPr>
        <w:t>（含）</w:t>
      </w:r>
      <w:r>
        <w:rPr>
          <w:rFonts w:hint="eastAsia" w:ascii="仿宋" w:hAnsi="仿宋" w:eastAsia="仿宋"/>
          <w:color w:val="000000"/>
          <w:sz w:val="30"/>
          <w:szCs w:val="30"/>
        </w:rPr>
        <w:t>-80</w:t>
      </w:r>
      <w:r>
        <w:rPr>
          <w:rFonts w:hint="eastAsia" w:ascii="仿宋" w:hAnsi="仿宋" w:eastAsia="仿宋" w:cs="宋体"/>
          <w:color w:val="000000"/>
          <w:sz w:val="30"/>
          <w:szCs w:val="30"/>
        </w:rPr>
        <w:t>分为中，</w:t>
      </w:r>
      <w:r>
        <w:rPr>
          <w:rFonts w:hint="eastAsia" w:ascii="仿宋" w:hAnsi="仿宋" w:eastAsia="仿宋"/>
          <w:color w:val="000000"/>
          <w:sz w:val="30"/>
          <w:szCs w:val="30"/>
        </w:rPr>
        <w:t>60</w:t>
      </w:r>
      <w:r>
        <w:rPr>
          <w:rFonts w:hint="eastAsia" w:ascii="仿宋" w:hAnsi="仿宋" w:eastAsia="仿宋" w:cs="宋体"/>
          <w:color w:val="000000"/>
          <w:sz w:val="30"/>
          <w:szCs w:val="30"/>
        </w:rPr>
        <w:t>分以下为差</w:t>
      </w:r>
      <w:r>
        <w:rPr>
          <w:rFonts w:hint="eastAsia" w:ascii="仿宋" w:hAnsi="仿宋" w:eastAsia="仿宋"/>
          <w:color w:val="000000"/>
          <w:sz w:val="30"/>
          <w:szCs w:val="30"/>
        </w:rPr>
        <w:t>。</w:t>
      </w:r>
    </w:p>
    <w:p>
      <w:pPr>
        <w:pStyle w:val="3"/>
        <w:spacing w:before="0" w:after="0" w:line="360" w:lineRule="auto"/>
        <w:ind w:firstLine="602" w:firstLineChars="200"/>
        <w:rPr>
          <w:rFonts w:ascii="仿宋" w:hAnsi="仿宋" w:eastAsia="仿宋"/>
          <w:color w:val="000000"/>
          <w:sz w:val="30"/>
          <w:szCs w:val="30"/>
        </w:rPr>
      </w:pPr>
      <w:bookmarkStart w:id="12" w:name="_Toc24633796"/>
      <w:r>
        <w:rPr>
          <w:rFonts w:ascii="仿宋" w:hAnsi="仿宋" w:eastAsia="仿宋"/>
          <w:color w:val="000000"/>
          <w:sz w:val="30"/>
          <w:szCs w:val="30"/>
        </w:rPr>
        <w:t>（</w:t>
      </w:r>
      <w:r>
        <w:rPr>
          <w:rFonts w:hint="eastAsia" w:ascii="仿宋" w:hAnsi="仿宋" w:eastAsia="仿宋"/>
          <w:color w:val="000000"/>
          <w:sz w:val="30"/>
          <w:szCs w:val="30"/>
        </w:rPr>
        <w:t>七</w:t>
      </w:r>
      <w:r>
        <w:rPr>
          <w:rFonts w:ascii="仿宋" w:hAnsi="仿宋" w:eastAsia="仿宋"/>
          <w:color w:val="000000"/>
          <w:sz w:val="30"/>
          <w:szCs w:val="30"/>
        </w:rPr>
        <w:t>）绩效评价工作组及人员分工</w:t>
      </w:r>
      <w:bookmarkEnd w:id="12"/>
    </w:p>
    <w:p>
      <w:pPr>
        <w:spacing w:line="600" w:lineRule="exact"/>
        <w:ind w:firstLine="600" w:firstLineChars="200"/>
        <w:rPr>
          <w:rFonts w:ascii="仿宋" w:hAnsi="仿宋" w:eastAsia="仿宋" w:cs="宋体"/>
          <w:color w:val="000000"/>
          <w:sz w:val="30"/>
          <w:szCs w:val="30"/>
        </w:rPr>
      </w:pPr>
      <w:bookmarkStart w:id="13" w:name="_Toc24633797"/>
      <w:r>
        <w:rPr>
          <w:rFonts w:hint="eastAsia" w:ascii="仿宋" w:hAnsi="仿宋" w:eastAsia="仿宋" w:cs="宋体"/>
          <w:color w:val="000000"/>
          <w:sz w:val="30"/>
          <w:szCs w:val="30"/>
        </w:rPr>
        <w:t>运城黄河会计师事务所根据本次绩效评价的具体情况，成立了绩效评价工作组。人员及分工见下表：</w:t>
      </w:r>
    </w:p>
    <w:p>
      <w:pPr>
        <w:autoSpaceDE w:val="0"/>
        <w:autoSpaceDN w:val="0"/>
        <w:adjustRightInd w:val="0"/>
        <w:jc w:val="center"/>
        <w:rPr>
          <w:rFonts w:ascii="仿宋" w:hAnsi="仿宋" w:eastAsia="仿宋" w:cs="仿宋_GB2312"/>
          <w:kern w:val="0"/>
          <w:sz w:val="24"/>
        </w:rPr>
      </w:pPr>
      <w:r>
        <w:rPr>
          <w:rFonts w:hint="eastAsia" w:ascii="仿宋" w:hAnsi="仿宋" w:eastAsia="仿宋" w:cs="仿宋_GB2312"/>
          <w:kern w:val="0"/>
          <w:sz w:val="24"/>
        </w:rPr>
        <w:t>工作组人员分工表</w:t>
      </w:r>
    </w:p>
    <w:tbl>
      <w:tblPr>
        <w:tblStyle w:val="14"/>
        <w:tblW w:w="8522" w:type="dxa"/>
        <w:tblInd w:w="0" w:type="dxa"/>
        <w:tblLayout w:type="fixed"/>
        <w:tblCellMar>
          <w:top w:w="0" w:type="dxa"/>
          <w:left w:w="108" w:type="dxa"/>
          <w:bottom w:w="0" w:type="dxa"/>
          <w:right w:w="108" w:type="dxa"/>
        </w:tblCellMar>
      </w:tblPr>
      <w:tblGrid>
        <w:gridCol w:w="959"/>
        <w:gridCol w:w="992"/>
        <w:gridCol w:w="2268"/>
        <w:gridCol w:w="4303"/>
      </w:tblGrid>
      <w:tr>
        <w:tblPrEx>
          <w:tblCellMar>
            <w:top w:w="0" w:type="dxa"/>
            <w:left w:w="108" w:type="dxa"/>
            <w:bottom w:w="0" w:type="dxa"/>
            <w:right w:w="108" w:type="dxa"/>
          </w:tblCellMar>
        </w:tblPrEx>
        <w:trPr>
          <w:trHeight w:val="283" w:hRule="atLeast"/>
          <w:tblHeader/>
        </w:trPr>
        <w:tc>
          <w:tcPr>
            <w:tcW w:w="9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r>
              <w:rPr>
                <w:rFonts w:hint="eastAsia" w:ascii="仿宋" w:hAnsi="仿宋" w:eastAsia="仿宋" w:cs="宋体"/>
                <w:b/>
                <w:kern w:val="0"/>
                <w:sz w:val="24"/>
              </w:rPr>
              <w:t>姓名</w:t>
            </w:r>
          </w:p>
        </w:tc>
        <w:tc>
          <w:tcPr>
            <w:tcW w:w="99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宋体"/>
                <w:b/>
                <w:kern w:val="0"/>
                <w:sz w:val="24"/>
              </w:rPr>
            </w:pPr>
            <w:r>
              <w:rPr>
                <w:rFonts w:hint="eastAsia" w:ascii="仿宋" w:hAnsi="仿宋" w:eastAsia="仿宋" w:cs="宋体"/>
                <w:b/>
                <w:kern w:val="0"/>
                <w:sz w:val="24"/>
              </w:rPr>
              <w:t>职位</w:t>
            </w:r>
          </w:p>
        </w:tc>
        <w:tc>
          <w:tcPr>
            <w:tcW w:w="22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宋体"/>
                <w:b/>
                <w:kern w:val="0"/>
                <w:sz w:val="24"/>
              </w:rPr>
            </w:pPr>
            <w:r>
              <w:rPr>
                <w:rFonts w:hint="eastAsia" w:ascii="仿宋" w:hAnsi="仿宋" w:eastAsia="仿宋" w:cs="宋体"/>
                <w:b/>
                <w:kern w:val="0"/>
                <w:sz w:val="24"/>
              </w:rPr>
              <w:t>执业资格或职称</w:t>
            </w:r>
          </w:p>
        </w:tc>
        <w:tc>
          <w:tcPr>
            <w:tcW w:w="4303"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宋体"/>
                <w:b/>
                <w:kern w:val="0"/>
                <w:sz w:val="24"/>
              </w:rPr>
            </w:pPr>
            <w:r>
              <w:rPr>
                <w:rFonts w:hint="eastAsia" w:ascii="仿宋" w:hAnsi="仿宋" w:eastAsia="仿宋" w:cs="宋体"/>
                <w:b/>
                <w:kern w:val="0"/>
                <w:sz w:val="24"/>
              </w:rPr>
              <w:t>主要职责分工</w:t>
            </w:r>
          </w:p>
        </w:tc>
      </w:tr>
      <w:tr>
        <w:tblPrEx>
          <w:tblCellMar>
            <w:top w:w="0" w:type="dxa"/>
            <w:left w:w="108" w:type="dxa"/>
            <w:bottom w:w="0" w:type="dxa"/>
            <w:right w:w="108" w:type="dxa"/>
          </w:tblCellMar>
        </w:tblPrEx>
        <w:trPr>
          <w:trHeight w:val="285" w:hRule="atLeast"/>
        </w:trPr>
        <w:tc>
          <w:tcPr>
            <w:tcW w:w="9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刘普柳</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所长</w:t>
            </w:r>
          </w:p>
        </w:tc>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注册、高级会计师</w:t>
            </w:r>
          </w:p>
        </w:tc>
        <w:tc>
          <w:tcPr>
            <w:tcW w:w="43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 xml:space="preserve">联系、协调，项目监督、管理和控制。  </w:t>
            </w:r>
          </w:p>
        </w:tc>
      </w:tr>
      <w:tr>
        <w:tblPrEx>
          <w:tblCellMar>
            <w:top w:w="0" w:type="dxa"/>
            <w:left w:w="108" w:type="dxa"/>
            <w:bottom w:w="0" w:type="dxa"/>
            <w:right w:w="108" w:type="dxa"/>
          </w:tblCellMar>
        </w:tblPrEx>
        <w:trPr>
          <w:trHeight w:val="529" w:hRule="atLeast"/>
        </w:trPr>
        <w:tc>
          <w:tcPr>
            <w:tcW w:w="9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b/>
                <w:kern w:val="0"/>
                <w:sz w:val="24"/>
              </w:rPr>
            </w:pPr>
            <w:r>
              <w:rPr>
                <w:rFonts w:hint="eastAsia" w:ascii="仿宋" w:hAnsi="仿宋" w:eastAsia="仿宋" w:cs="宋体"/>
                <w:kern w:val="0"/>
                <w:sz w:val="24"/>
              </w:rPr>
              <w:t>李小青</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部门经理</w:t>
            </w:r>
          </w:p>
        </w:tc>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注册会计师、资产评估师、税务师</w:t>
            </w:r>
          </w:p>
        </w:tc>
        <w:tc>
          <w:tcPr>
            <w:tcW w:w="43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实施方案审核、报告二级审核。</w:t>
            </w:r>
          </w:p>
        </w:tc>
      </w:tr>
      <w:tr>
        <w:tblPrEx>
          <w:tblCellMar>
            <w:top w:w="0" w:type="dxa"/>
            <w:left w:w="108" w:type="dxa"/>
            <w:bottom w:w="0" w:type="dxa"/>
            <w:right w:w="108" w:type="dxa"/>
          </w:tblCellMar>
        </w:tblPrEx>
        <w:trPr>
          <w:trHeight w:val="336" w:hRule="atLeast"/>
        </w:trPr>
        <w:tc>
          <w:tcPr>
            <w:tcW w:w="9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王雪琴</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组长</w:t>
            </w:r>
          </w:p>
        </w:tc>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注册会计师、资产评估师、税务师</w:t>
            </w:r>
          </w:p>
        </w:tc>
        <w:tc>
          <w:tcPr>
            <w:tcW w:w="43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撰写工作方案，制定评价指标，报告审核与修改</w:t>
            </w:r>
          </w:p>
        </w:tc>
      </w:tr>
      <w:tr>
        <w:tblPrEx>
          <w:tblCellMar>
            <w:top w:w="0" w:type="dxa"/>
            <w:left w:w="108" w:type="dxa"/>
            <w:bottom w:w="0" w:type="dxa"/>
            <w:right w:w="108" w:type="dxa"/>
          </w:tblCellMar>
        </w:tblPrEx>
        <w:trPr>
          <w:trHeight w:val="336" w:hRule="atLeast"/>
        </w:trPr>
        <w:tc>
          <w:tcPr>
            <w:tcW w:w="9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薛栋才</w:t>
            </w:r>
          </w:p>
        </w:tc>
        <w:tc>
          <w:tcPr>
            <w:tcW w:w="99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成员</w:t>
            </w:r>
          </w:p>
        </w:tc>
        <w:tc>
          <w:tcPr>
            <w:tcW w:w="226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资产评估师</w:t>
            </w:r>
          </w:p>
        </w:tc>
        <w:tc>
          <w:tcPr>
            <w:tcW w:w="430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制定评价指标、考评、撰写报告</w:t>
            </w:r>
          </w:p>
        </w:tc>
      </w:tr>
      <w:tr>
        <w:tblPrEx>
          <w:tblCellMar>
            <w:top w:w="0" w:type="dxa"/>
            <w:left w:w="108" w:type="dxa"/>
            <w:bottom w:w="0" w:type="dxa"/>
            <w:right w:w="108" w:type="dxa"/>
          </w:tblCellMar>
        </w:tblPrEx>
        <w:trPr>
          <w:trHeight w:val="336" w:hRule="atLeast"/>
        </w:trPr>
        <w:tc>
          <w:tcPr>
            <w:tcW w:w="959"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阎翔宇</w:t>
            </w:r>
          </w:p>
        </w:tc>
        <w:tc>
          <w:tcPr>
            <w:tcW w:w="992"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成员</w:t>
            </w:r>
          </w:p>
        </w:tc>
        <w:tc>
          <w:tcPr>
            <w:tcW w:w="2268"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注册会计师、资产评估师、税务师</w:t>
            </w:r>
          </w:p>
        </w:tc>
        <w:tc>
          <w:tcPr>
            <w:tcW w:w="4303" w:type="dxa"/>
            <w:tcBorders>
              <w:top w:val="single" w:color="auto" w:sz="4" w:space="0"/>
              <w:left w:val="nil"/>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资料收集、财务分析、报告撰写财务类</w:t>
            </w:r>
          </w:p>
        </w:tc>
      </w:tr>
      <w:tr>
        <w:tblPrEx>
          <w:tblCellMar>
            <w:top w:w="0" w:type="dxa"/>
            <w:left w:w="108" w:type="dxa"/>
            <w:bottom w:w="0" w:type="dxa"/>
            <w:right w:w="108" w:type="dxa"/>
          </w:tblCellMar>
        </w:tblPrEx>
        <w:trPr>
          <w:trHeight w:val="285" w:hRule="atLeast"/>
        </w:trPr>
        <w:tc>
          <w:tcPr>
            <w:tcW w:w="959" w:type="dxa"/>
            <w:tcBorders>
              <w:top w:val="nil"/>
              <w:left w:val="single" w:color="auto" w:sz="4" w:space="0"/>
              <w:bottom w:val="single" w:color="auto" w:sz="4" w:space="0"/>
              <w:right w:val="single" w:color="auto" w:sz="4" w:space="0"/>
            </w:tcBorders>
          </w:tcPr>
          <w:p>
            <w:pPr>
              <w:widowControl/>
              <w:jc w:val="left"/>
              <w:rPr>
                <w:rFonts w:ascii="仿宋" w:hAnsi="仿宋" w:eastAsia="仿宋" w:cs="宋体"/>
                <w:kern w:val="0"/>
                <w:sz w:val="24"/>
              </w:rPr>
            </w:pPr>
            <w:r>
              <w:rPr>
                <w:rFonts w:hint="eastAsia" w:ascii="仿宋" w:hAnsi="仿宋" w:eastAsia="仿宋" w:cs="宋体"/>
                <w:kern w:val="0"/>
                <w:sz w:val="24"/>
              </w:rPr>
              <w:t>尉凯丽</w:t>
            </w:r>
          </w:p>
        </w:tc>
        <w:tc>
          <w:tcPr>
            <w:tcW w:w="992" w:type="dxa"/>
            <w:tcBorders>
              <w:top w:val="nil"/>
              <w:left w:val="nil"/>
              <w:bottom w:val="single" w:color="auto" w:sz="4" w:space="0"/>
              <w:right w:val="single" w:color="auto" w:sz="4" w:space="0"/>
            </w:tcBorders>
            <w:noWrap/>
          </w:tcPr>
          <w:p>
            <w:pPr>
              <w:widowControl/>
              <w:jc w:val="left"/>
              <w:rPr>
                <w:rFonts w:ascii="仿宋" w:hAnsi="仿宋" w:eastAsia="仿宋" w:cs="宋体"/>
                <w:kern w:val="0"/>
                <w:sz w:val="24"/>
              </w:rPr>
            </w:pPr>
            <w:r>
              <w:rPr>
                <w:rFonts w:hint="eastAsia" w:ascii="仿宋" w:hAnsi="仿宋" w:eastAsia="仿宋" w:cs="宋体"/>
                <w:kern w:val="0"/>
                <w:sz w:val="24"/>
              </w:rPr>
              <w:t>成员</w:t>
            </w:r>
          </w:p>
        </w:tc>
        <w:tc>
          <w:tcPr>
            <w:tcW w:w="2268" w:type="dxa"/>
            <w:tcBorders>
              <w:top w:val="nil"/>
              <w:left w:val="nil"/>
              <w:bottom w:val="single" w:color="auto" w:sz="4" w:space="0"/>
              <w:right w:val="single" w:color="auto" w:sz="4" w:space="0"/>
            </w:tcBorders>
            <w:noWrap/>
          </w:tcPr>
          <w:p>
            <w:pPr>
              <w:widowControl/>
              <w:jc w:val="left"/>
              <w:rPr>
                <w:rFonts w:ascii="仿宋" w:hAnsi="仿宋" w:eastAsia="仿宋" w:cs="宋体"/>
                <w:kern w:val="0"/>
                <w:sz w:val="24"/>
              </w:rPr>
            </w:pPr>
          </w:p>
        </w:tc>
        <w:tc>
          <w:tcPr>
            <w:tcW w:w="4303" w:type="dxa"/>
            <w:tcBorders>
              <w:top w:val="nil"/>
              <w:left w:val="nil"/>
              <w:bottom w:val="single" w:color="auto" w:sz="4" w:space="0"/>
              <w:right w:val="single" w:color="auto" w:sz="4" w:space="0"/>
            </w:tcBorders>
            <w:noWrap/>
          </w:tcPr>
          <w:p>
            <w:pPr>
              <w:widowControl/>
              <w:jc w:val="left"/>
              <w:rPr>
                <w:rFonts w:ascii="仿宋" w:hAnsi="仿宋" w:eastAsia="仿宋" w:cs="宋体"/>
                <w:kern w:val="0"/>
                <w:sz w:val="24"/>
              </w:rPr>
            </w:pPr>
            <w:r>
              <w:rPr>
                <w:rFonts w:hint="eastAsia" w:ascii="仿宋" w:hAnsi="仿宋" w:eastAsia="仿宋" w:cs="宋体"/>
                <w:kern w:val="0"/>
                <w:sz w:val="24"/>
              </w:rPr>
              <w:t>资料收集整理、问卷发放与收集</w:t>
            </w:r>
          </w:p>
        </w:tc>
      </w:tr>
      <w:tr>
        <w:tblPrEx>
          <w:tblCellMar>
            <w:top w:w="0" w:type="dxa"/>
            <w:left w:w="108" w:type="dxa"/>
            <w:bottom w:w="0" w:type="dxa"/>
            <w:right w:w="108" w:type="dxa"/>
          </w:tblCellMar>
        </w:tblPrEx>
        <w:trPr>
          <w:trHeight w:val="285" w:hRule="atLeast"/>
        </w:trPr>
        <w:tc>
          <w:tcPr>
            <w:tcW w:w="959"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r>
              <w:rPr>
                <w:rFonts w:hint="eastAsia" w:ascii="仿宋" w:hAnsi="仿宋" w:eastAsia="仿宋" w:cs="宋体"/>
                <w:kern w:val="0"/>
                <w:sz w:val="24"/>
              </w:rPr>
              <w:t>聂力</w:t>
            </w:r>
          </w:p>
        </w:tc>
        <w:tc>
          <w:tcPr>
            <w:tcW w:w="992"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成员</w:t>
            </w:r>
          </w:p>
        </w:tc>
        <w:tc>
          <w:tcPr>
            <w:tcW w:w="2268"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4"/>
              </w:rPr>
            </w:pPr>
          </w:p>
        </w:tc>
        <w:tc>
          <w:tcPr>
            <w:tcW w:w="4303"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4"/>
              </w:rPr>
            </w:pPr>
            <w:r>
              <w:rPr>
                <w:rFonts w:hint="eastAsia" w:ascii="仿宋" w:hAnsi="仿宋" w:eastAsia="仿宋" w:cs="宋体"/>
                <w:kern w:val="0"/>
                <w:sz w:val="24"/>
              </w:rPr>
              <w:t>资料收集整理、问卷发放与收集</w:t>
            </w:r>
          </w:p>
        </w:tc>
      </w:tr>
    </w:tbl>
    <w:p>
      <w:pPr>
        <w:pStyle w:val="3"/>
        <w:spacing w:before="0" w:after="0" w:line="360" w:lineRule="auto"/>
        <w:ind w:firstLine="602" w:firstLineChars="200"/>
        <w:rPr>
          <w:rFonts w:ascii="仿宋" w:hAnsi="仿宋" w:eastAsia="仿宋"/>
          <w:color w:val="000000"/>
          <w:sz w:val="30"/>
          <w:szCs w:val="30"/>
        </w:rPr>
      </w:pPr>
      <w:r>
        <w:rPr>
          <w:rFonts w:ascii="仿宋" w:hAnsi="仿宋" w:eastAsia="仿宋"/>
          <w:color w:val="000000"/>
          <w:sz w:val="30"/>
          <w:szCs w:val="30"/>
        </w:rPr>
        <w:t>（</w:t>
      </w:r>
      <w:r>
        <w:rPr>
          <w:rFonts w:hint="eastAsia" w:ascii="仿宋" w:hAnsi="仿宋" w:eastAsia="仿宋"/>
          <w:color w:val="000000"/>
          <w:sz w:val="30"/>
          <w:szCs w:val="30"/>
        </w:rPr>
        <w:t>八</w:t>
      </w:r>
      <w:r>
        <w:rPr>
          <w:rFonts w:ascii="仿宋" w:hAnsi="仿宋" w:eastAsia="仿宋"/>
          <w:color w:val="000000"/>
          <w:sz w:val="30"/>
          <w:szCs w:val="30"/>
        </w:rPr>
        <w:t>）绩效评价工作过程</w:t>
      </w:r>
      <w:bookmarkEnd w:id="13"/>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评价工作分为三个阶段：</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w:t>
      </w:r>
      <w:r>
        <w:rPr>
          <w:rFonts w:hint="eastAsia" w:ascii="仿宋" w:hAnsi="仿宋" w:eastAsia="仿宋" w:cs="宋体"/>
          <w:color w:val="000000"/>
          <w:sz w:val="30"/>
          <w:szCs w:val="30"/>
        </w:rPr>
        <w:t>第一阶段为准备阶段（</w:t>
      </w:r>
      <w:r>
        <w:rPr>
          <w:rFonts w:hint="eastAsia" w:ascii="仿宋" w:hAnsi="仿宋" w:eastAsia="仿宋"/>
          <w:color w:val="000000"/>
          <w:sz w:val="30"/>
          <w:szCs w:val="30"/>
        </w:rPr>
        <w:t>2020</w:t>
      </w:r>
      <w:r>
        <w:rPr>
          <w:rFonts w:hint="eastAsia" w:ascii="仿宋" w:hAnsi="仿宋" w:eastAsia="仿宋" w:cs="宋体"/>
          <w:color w:val="000000"/>
          <w:sz w:val="30"/>
          <w:szCs w:val="30"/>
        </w:rPr>
        <w:t>年</w:t>
      </w:r>
      <w:r>
        <w:rPr>
          <w:rFonts w:hint="eastAsia" w:ascii="仿宋" w:hAnsi="仿宋" w:eastAsia="仿宋"/>
          <w:color w:val="000000"/>
          <w:sz w:val="30"/>
          <w:szCs w:val="30"/>
        </w:rPr>
        <w:t>8</w:t>
      </w:r>
      <w:r>
        <w:rPr>
          <w:rFonts w:hint="eastAsia" w:ascii="仿宋" w:hAnsi="仿宋" w:eastAsia="仿宋" w:cs="宋体"/>
          <w:color w:val="000000"/>
          <w:sz w:val="30"/>
          <w:szCs w:val="30"/>
        </w:rPr>
        <w:t>月</w:t>
      </w:r>
      <w:r>
        <w:rPr>
          <w:rFonts w:hint="eastAsia" w:ascii="仿宋" w:hAnsi="仿宋" w:eastAsia="仿宋"/>
          <w:color w:val="000000"/>
          <w:sz w:val="30"/>
          <w:szCs w:val="30"/>
        </w:rPr>
        <w:t>16</w:t>
      </w:r>
      <w:r>
        <w:rPr>
          <w:rFonts w:hint="eastAsia" w:ascii="仿宋" w:hAnsi="仿宋" w:eastAsia="仿宋" w:cs="宋体"/>
          <w:color w:val="000000"/>
          <w:sz w:val="30"/>
          <w:szCs w:val="30"/>
        </w:rPr>
        <w:t>日</w:t>
      </w:r>
      <w:r>
        <w:rPr>
          <w:rFonts w:hint="eastAsia" w:ascii="仿宋" w:hAnsi="仿宋" w:eastAsia="仿宋"/>
          <w:color w:val="000000"/>
          <w:sz w:val="30"/>
          <w:szCs w:val="30"/>
        </w:rPr>
        <w:t>-8</w:t>
      </w:r>
      <w:r>
        <w:rPr>
          <w:rFonts w:hint="eastAsia" w:ascii="仿宋" w:hAnsi="仿宋" w:eastAsia="仿宋" w:cs="宋体"/>
          <w:color w:val="000000"/>
          <w:sz w:val="30"/>
          <w:szCs w:val="30"/>
        </w:rPr>
        <w:t>月</w:t>
      </w:r>
      <w:r>
        <w:rPr>
          <w:rFonts w:hint="eastAsia" w:ascii="仿宋" w:hAnsi="仿宋" w:eastAsia="仿宋"/>
          <w:color w:val="000000"/>
          <w:sz w:val="30"/>
          <w:szCs w:val="30"/>
        </w:rPr>
        <w:t>30</w:t>
      </w:r>
      <w:r>
        <w:rPr>
          <w:rFonts w:hint="eastAsia" w:ascii="仿宋" w:hAnsi="仿宋" w:eastAsia="仿宋" w:cs="宋体"/>
          <w:color w:val="000000"/>
          <w:sz w:val="30"/>
          <w:szCs w:val="30"/>
        </w:rPr>
        <w:t>日）</w:t>
      </w:r>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w:t>
      </w:r>
      <w:r>
        <w:rPr>
          <w:rFonts w:hint="eastAsia" w:ascii="仿宋" w:hAnsi="仿宋" w:eastAsia="仿宋"/>
          <w:color w:val="000000"/>
          <w:sz w:val="30"/>
          <w:szCs w:val="30"/>
        </w:rPr>
        <w:t>1</w:t>
      </w:r>
      <w:r>
        <w:rPr>
          <w:rFonts w:hint="eastAsia" w:ascii="仿宋" w:hAnsi="仿宋" w:eastAsia="仿宋" w:cs="宋体"/>
          <w:color w:val="000000"/>
          <w:sz w:val="30"/>
          <w:szCs w:val="30"/>
        </w:rPr>
        <w:t>）确定评价对象。</w:t>
      </w:r>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w:t>
      </w:r>
      <w:r>
        <w:rPr>
          <w:rFonts w:hint="eastAsia" w:ascii="仿宋" w:hAnsi="仿宋" w:eastAsia="仿宋"/>
          <w:color w:val="000000"/>
          <w:sz w:val="30"/>
          <w:szCs w:val="30"/>
        </w:rPr>
        <w:t>2</w:t>
      </w:r>
      <w:r>
        <w:rPr>
          <w:rFonts w:hint="eastAsia" w:ascii="仿宋" w:hAnsi="仿宋" w:eastAsia="仿宋" w:cs="宋体"/>
          <w:color w:val="000000"/>
          <w:sz w:val="30"/>
          <w:szCs w:val="30"/>
        </w:rPr>
        <w:t>）成立评价小组</w:t>
      </w:r>
      <w:r>
        <w:rPr>
          <w:rFonts w:hint="eastAsia" w:ascii="仿宋" w:hAnsi="仿宋" w:eastAsia="仿宋"/>
          <w:color w:val="000000"/>
          <w:sz w:val="30"/>
          <w:szCs w:val="30"/>
        </w:rPr>
        <w:t>,</w:t>
      </w:r>
      <w:r>
        <w:rPr>
          <w:rFonts w:hint="eastAsia" w:ascii="仿宋" w:hAnsi="仿宋" w:eastAsia="仿宋" w:cs="宋体"/>
          <w:color w:val="000000"/>
          <w:sz w:val="30"/>
          <w:szCs w:val="30"/>
        </w:rPr>
        <w:t>设项目负责人</w:t>
      </w:r>
      <w:r>
        <w:rPr>
          <w:rFonts w:hint="eastAsia" w:ascii="仿宋" w:hAnsi="仿宋" w:eastAsia="仿宋"/>
          <w:color w:val="000000"/>
          <w:sz w:val="30"/>
          <w:szCs w:val="30"/>
        </w:rPr>
        <w:t>1</w:t>
      </w:r>
      <w:r>
        <w:rPr>
          <w:rFonts w:hint="eastAsia" w:ascii="仿宋" w:hAnsi="仿宋" w:eastAsia="仿宋" w:cs="宋体"/>
          <w:color w:val="000000"/>
          <w:sz w:val="30"/>
          <w:szCs w:val="30"/>
        </w:rPr>
        <w:t>人。</w:t>
      </w:r>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w:t>
      </w:r>
      <w:r>
        <w:rPr>
          <w:rFonts w:hint="eastAsia" w:ascii="仿宋" w:hAnsi="仿宋" w:eastAsia="仿宋"/>
          <w:color w:val="000000"/>
          <w:sz w:val="30"/>
          <w:szCs w:val="30"/>
        </w:rPr>
        <w:t>3</w:t>
      </w:r>
      <w:r>
        <w:rPr>
          <w:rFonts w:hint="eastAsia" w:ascii="仿宋" w:hAnsi="仿宋" w:eastAsia="仿宋" w:cs="宋体"/>
          <w:color w:val="000000"/>
          <w:sz w:val="30"/>
          <w:szCs w:val="30"/>
        </w:rPr>
        <w:t>）制定绩效评价工作方案，包括：评价工作的计划安排；拟采用的绩效评价指标和评价标准；拟采用评价方法；评价依据；有关工作条件。</w:t>
      </w:r>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w:t>
      </w:r>
      <w:r>
        <w:rPr>
          <w:rFonts w:hint="eastAsia" w:ascii="仿宋" w:hAnsi="仿宋" w:eastAsia="仿宋"/>
          <w:color w:val="000000"/>
          <w:sz w:val="30"/>
          <w:szCs w:val="30"/>
        </w:rPr>
        <w:t>4</w:t>
      </w:r>
      <w:r>
        <w:rPr>
          <w:rFonts w:hint="eastAsia" w:ascii="仿宋" w:hAnsi="仿宋" w:eastAsia="仿宋" w:cs="宋体"/>
          <w:color w:val="000000"/>
          <w:sz w:val="30"/>
          <w:szCs w:val="30"/>
        </w:rPr>
        <w:t>）收集、审核资料，进行分析整理。评价工作组在全面收集资料的基础上，根据评价工作方案，对已收集的资料进行分类整理、审查和分析。</w:t>
      </w:r>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w:t>
      </w:r>
      <w:r>
        <w:rPr>
          <w:rFonts w:hint="eastAsia" w:ascii="仿宋" w:hAnsi="仿宋" w:eastAsia="仿宋"/>
          <w:color w:val="000000"/>
          <w:sz w:val="30"/>
          <w:szCs w:val="30"/>
        </w:rPr>
        <w:t>5</w:t>
      </w:r>
      <w:r>
        <w:rPr>
          <w:rFonts w:hint="eastAsia" w:ascii="仿宋" w:hAnsi="仿宋" w:eastAsia="仿宋" w:cs="宋体"/>
          <w:color w:val="000000"/>
          <w:sz w:val="30"/>
          <w:szCs w:val="30"/>
        </w:rPr>
        <w:t>）培训评价人员。</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w:t>
      </w:r>
      <w:r>
        <w:rPr>
          <w:rFonts w:hint="eastAsia" w:ascii="仿宋" w:hAnsi="仿宋" w:eastAsia="仿宋" w:cs="宋体"/>
          <w:color w:val="000000"/>
          <w:sz w:val="30"/>
          <w:szCs w:val="30"/>
        </w:rPr>
        <w:t>第二阶段为现场调研阶段（</w:t>
      </w:r>
      <w:r>
        <w:rPr>
          <w:rFonts w:hint="eastAsia" w:ascii="仿宋" w:hAnsi="仿宋" w:eastAsia="仿宋"/>
          <w:color w:val="000000"/>
          <w:sz w:val="30"/>
          <w:szCs w:val="30"/>
        </w:rPr>
        <w:t>2020</w:t>
      </w:r>
      <w:r>
        <w:rPr>
          <w:rFonts w:hint="eastAsia" w:ascii="仿宋" w:hAnsi="仿宋" w:eastAsia="仿宋" w:cs="宋体"/>
          <w:color w:val="000000"/>
          <w:sz w:val="30"/>
          <w:szCs w:val="30"/>
        </w:rPr>
        <w:t>年</w:t>
      </w:r>
      <w:r>
        <w:rPr>
          <w:rFonts w:hint="eastAsia" w:ascii="仿宋" w:hAnsi="仿宋" w:eastAsia="仿宋"/>
          <w:color w:val="000000"/>
          <w:sz w:val="30"/>
          <w:szCs w:val="30"/>
        </w:rPr>
        <w:t>9</w:t>
      </w:r>
      <w:r>
        <w:rPr>
          <w:rFonts w:hint="eastAsia" w:ascii="仿宋" w:hAnsi="仿宋" w:eastAsia="仿宋" w:cs="宋体"/>
          <w:color w:val="000000"/>
          <w:sz w:val="30"/>
          <w:szCs w:val="30"/>
        </w:rPr>
        <w:t>月</w:t>
      </w:r>
      <w:r>
        <w:rPr>
          <w:rFonts w:hint="eastAsia" w:ascii="仿宋" w:hAnsi="仿宋" w:eastAsia="仿宋"/>
          <w:color w:val="000000"/>
          <w:sz w:val="30"/>
          <w:szCs w:val="30"/>
        </w:rPr>
        <w:t>1</w:t>
      </w:r>
      <w:r>
        <w:rPr>
          <w:rFonts w:hint="eastAsia" w:ascii="仿宋" w:hAnsi="仿宋" w:eastAsia="仿宋" w:cs="宋体"/>
          <w:color w:val="000000"/>
          <w:sz w:val="30"/>
          <w:szCs w:val="30"/>
        </w:rPr>
        <w:t>日</w:t>
      </w:r>
      <w:r>
        <w:rPr>
          <w:rFonts w:hint="eastAsia" w:ascii="仿宋" w:hAnsi="仿宋" w:eastAsia="仿宋"/>
          <w:color w:val="000000"/>
          <w:sz w:val="30"/>
          <w:szCs w:val="30"/>
        </w:rPr>
        <w:t>-9</w:t>
      </w:r>
      <w:r>
        <w:rPr>
          <w:rFonts w:hint="eastAsia" w:ascii="仿宋" w:hAnsi="仿宋" w:eastAsia="仿宋" w:cs="宋体"/>
          <w:color w:val="000000"/>
          <w:sz w:val="30"/>
          <w:szCs w:val="30"/>
        </w:rPr>
        <w:t>月</w:t>
      </w:r>
      <w:r>
        <w:rPr>
          <w:rFonts w:hint="eastAsia" w:ascii="仿宋" w:hAnsi="仿宋" w:eastAsia="仿宋"/>
          <w:color w:val="000000"/>
          <w:sz w:val="30"/>
          <w:szCs w:val="30"/>
        </w:rPr>
        <w:t>10</w:t>
      </w:r>
      <w:r>
        <w:rPr>
          <w:rFonts w:hint="eastAsia" w:ascii="仿宋" w:hAnsi="仿宋" w:eastAsia="仿宋" w:cs="宋体"/>
          <w:color w:val="000000"/>
          <w:sz w:val="30"/>
          <w:szCs w:val="30"/>
        </w:rPr>
        <w:t>日）</w:t>
      </w:r>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w:t>
      </w:r>
      <w:r>
        <w:rPr>
          <w:rFonts w:hint="eastAsia" w:ascii="仿宋" w:hAnsi="仿宋" w:eastAsia="仿宋"/>
          <w:color w:val="000000"/>
          <w:sz w:val="30"/>
          <w:szCs w:val="30"/>
        </w:rPr>
        <w:t>1</w:t>
      </w:r>
      <w:r>
        <w:rPr>
          <w:rFonts w:hint="eastAsia" w:ascii="仿宋" w:hAnsi="仿宋" w:eastAsia="仿宋" w:cs="宋体"/>
          <w:color w:val="000000"/>
          <w:sz w:val="30"/>
          <w:szCs w:val="30"/>
        </w:rPr>
        <w:t>）分为内勤和外勤两个小组，内勤组负责查阅与该项目有关的财务资料、合同资料等资料；外勤组负责现场勘察。根据评价对象的特点和项目承担单位提供的数据资料，评价工作组采取现场勘察、询查评价的方式进行实地考察验证。</w:t>
      </w:r>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w:t>
      </w:r>
      <w:r>
        <w:rPr>
          <w:rFonts w:hint="eastAsia" w:ascii="仿宋" w:hAnsi="仿宋" w:eastAsia="仿宋"/>
          <w:color w:val="000000"/>
          <w:sz w:val="30"/>
          <w:szCs w:val="30"/>
        </w:rPr>
        <w:t>2</w:t>
      </w:r>
      <w:r>
        <w:rPr>
          <w:rFonts w:hint="eastAsia" w:ascii="仿宋" w:hAnsi="仿宋" w:eastAsia="仿宋" w:cs="宋体"/>
          <w:color w:val="000000"/>
          <w:sz w:val="30"/>
          <w:szCs w:val="30"/>
        </w:rPr>
        <w:t>）综合评价，评价工作组根据评价工作方案确定的评价指标、评价权重、评价标准和评价方法，对评价对象的绩效情况进行全面的定量定性分析和综合评价，根据得分的不同情况将评价结果划分为四个等级：总分一般设置为</w:t>
      </w:r>
      <w:r>
        <w:rPr>
          <w:rFonts w:hint="eastAsia" w:ascii="仿宋" w:hAnsi="仿宋" w:eastAsia="仿宋"/>
          <w:color w:val="000000"/>
          <w:sz w:val="30"/>
          <w:szCs w:val="30"/>
        </w:rPr>
        <w:t>100</w:t>
      </w:r>
      <w:r>
        <w:rPr>
          <w:rFonts w:hint="eastAsia" w:ascii="仿宋" w:hAnsi="仿宋" w:eastAsia="仿宋" w:cs="宋体"/>
          <w:color w:val="000000"/>
          <w:sz w:val="30"/>
          <w:szCs w:val="30"/>
        </w:rPr>
        <w:t>分，等级一般划分为四档：</w:t>
      </w:r>
      <w:r>
        <w:rPr>
          <w:rFonts w:hint="eastAsia" w:ascii="仿宋" w:hAnsi="仿宋" w:eastAsia="仿宋"/>
          <w:color w:val="000000"/>
          <w:sz w:val="30"/>
          <w:szCs w:val="30"/>
        </w:rPr>
        <w:t>90</w:t>
      </w:r>
      <w:r>
        <w:rPr>
          <w:rFonts w:hint="eastAsia" w:ascii="仿宋" w:hAnsi="仿宋" w:eastAsia="仿宋" w:cs="宋体"/>
          <w:color w:val="000000"/>
          <w:sz w:val="30"/>
          <w:szCs w:val="30"/>
        </w:rPr>
        <w:t>（含）</w:t>
      </w:r>
      <w:r>
        <w:rPr>
          <w:rFonts w:hint="eastAsia" w:ascii="仿宋" w:hAnsi="仿宋" w:eastAsia="仿宋"/>
          <w:color w:val="000000"/>
          <w:sz w:val="30"/>
          <w:szCs w:val="30"/>
        </w:rPr>
        <w:t>-100</w:t>
      </w:r>
      <w:r>
        <w:rPr>
          <w:rFonts w:hint="eastAsia" w:ascii="仿宋" w:hAnsi="仿宋" w:eastAsia="仿宋" w:cs="宋体"/>
          <w:color w:val="000000"/>
          <w:sz w:val="30"/>
          <w:szCs w:val="30"/>
        </w:rPr>
        <w:t>分为优、</w:t>
      </w:r>
      <w:r>
        <w:rPr>
          <w:rFonts w:hint="eastAsia" w:ascii="仿宋" w:hAnsi="仿宋" w:eastAsia="仿宋"/>
          <w:color w:val="000000"/>
          <w:sz w:val="30"/>
          <w:szCs w:val="30"/>
        </w:rPr>
        <w:t>80</w:t>
      </w:r>
      <w:r>
        <w:rPr>
          <w:rFonts w:hint="eastAsia" w:ascii="仿宋" w:hAnsi="仿宋" w:eastAsia="仿宋" w:cs="宋体"/>
          <w:color w:val="000000"/>
          <w:sz w:val="30"/>
          <w:szCs w:val="30"/>
        </w:rPr>
        <w:t>（含）</w:t>
      </w:r>
      <w:r>
        <w:rPr>
          <w:rFonts w:hint="eastAsia" w:ascii="仿宋" w:hAnsi="仿宋" w:eastAsia="仿宋"/>
          <w:color w:val="000000"/>
          <w:sz w:val="30"/>
          <w:szCs w:val="30"/>
        </w:rPr>
        <w:t>-90</w:t>
      </w:r>
      <w:r>
        <w:rPr>
          <w:rFonts w:hint="eastAsia" w:ascii="仿宋" w:hAnsi="仿宋" w:eastAsia="仿宋" w:cs="宋体"/>
          <w:color w:val="000000"/>
          <w:sz w:val="30"/>
          <w:szCs w:val="30"/>
        </w:rPr>
        <w:t>分为良、</w:t>
      </w:r>
      <w:r>
        <w:rPr>
          <w:rFonts w:hint="eastAsia" w:ascii="仿宋" w:hAnsi="仿宋" w:eastAsia="仿宋"/>
          <w:color w:val="000000"/>
          <w:sz w:val="30"/>
          <w:szCs w:val="30"/>
        </w:rPr>
        <w:t>60</w:t>
      </w:r>
      <w:r>
        <w:rPr>
          <w:rFonts w:hint="eastAsia" w:ascii="仿宋" w:hAnsi="仿宋" w:eastAsia="仿宋" w:cs="宋体"/>
          <w:color w:val="000000"/>
          <w:sz w:val="30"/>
          <w:szCs w:val="30"/>
        </w:rPr>
        <w:t>（含）</w:t>
      </w:r>
      <w:r>
        <w:rPr>
          <w:rFonts w:hint="eastAsia" w:ascii="仿宋" w:hAnsi="仿宋" w:eastAsia="仿宋"/>
          <w:color w:val="000000"/>
          <w:sz w:val="30"/>
          <w:szCs w:val="30"/>
        </w:rPr>
        <w:t>-80</w:t>
      </w:r>
      <w:r>
        <w:rPr>
          <w:rFonts w:hint="eastAsia" w:ascii="仿宋" w:hAnsi="仿宋" w:eastAsia="仿宋" w:cs="宋体"/>
          <w:color w:val="000000"/>
          <w:sz w:val="30"/>
          <w:szCs w:val="30"/>
        </w:rPr>
        <w:t>分为中、</w:t>
      </w:r>
      <w:r>
        <w:rPr>
          <w:rFonts w:hint="eastAsia" w:ascii="仿宋" w:hAnsi="仿宋" w:eastAsia="仿宋"/>
          <w:color w:val="000000"/>
          <w:sz w:val="30"/>
          <w:szCs w:val="30"/>
        </w:rPr>
        <w:t>60</w:t>
      </w:r>
      <w:r>
        <w:rPr>
          <w:rFonts w:hint="eastAsia" w:ascii="仿宋" w:hAnsi="仿宋" w:eastAsia="仿宋" w:cs="宋体"/>
          <w:color w:val="000000"/>
          <w:sz w:val="30"/>
          <w:szCs w:val="30"/>
        </w:rPr>
        <w:t>分以下为差。</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w:t>
      </w:r>
      <w:r>
        <w:rPr>
          <w:rFonts w:hint="eastAsia" w:ascii="仿宋" w:hAnsi="仿宋" w:eastAsia="仿宋" w:cs="宋体"/>
          <w:color w:val="000000"/>
          <w:sz w:val="30"/>
          <w:szCs w:val="30"/>
        </w:rPr>
        <w:t>第三阶段为撰写提交报告阶段（</w:t>
      </w:r>
      <w:r>
        <w:rPr>
          <w:rFonts w:hint="eastAsia" w:ascii="仿宋" w:hAnsi="仿宋" w:eastAsia="仿宋"/>
          <w:color w:val="000000"/>
          <w:sz w:val="30"/>
          <w:szCs w:val="30"/>
        </w:rPr>
        <w:t>2020</w:t>
      </w:r>
      <w:r>
        <w:rPr>
          <w:rFonts w:hint="eastAsia" w:ascii="仿宋" w:hAnsi="仿宋" w:eastAsia="仿宋" w:cs="宋体"/>
          <w:color w:val="000000"/>
          <w:sz w:val="30"/>
          <w:szCs w:val="30"/>
        </w:rPr>
        <w:t>年</w:t>
      </w:r>
      <w:r>
        <w:rPr>
          <w:rFonts w:hint="eastAsia" w:ascii="仿宋" w:hAnsi="仿宋" w:eastAsia="仿宋"/>
          <w:color w:val="000000"/>
          <w:sz w:val="30"/>
          <w:szCs w:val="30"/>
        </w:rPr>
        <w:t>9</w:t>
      </w:r>
      <w:r>
        <w:rPr>
          <w:rFonts w:hint="eastAsia" w:ascii="仿宋" w:hAnsi="仿宋" w:eastAsia="仿宋" w:cs="宋体"/>
          <w:color w:val="000000"/>
          <w:sz w:val="30"/>
          <w:szCs w:val="30"/>
        </w:rPr>
        <w:t>月</w:t>
      </w:r>
      <w:r>
        <w:rPr>
          <w:rFonts w:hint="eastAsia" w:ascii="仿宋" w:hAnsi="仿宋" w:eastAsia="仿宋"/>
          <w:color w:val="000000"/>
          <w:sz w:val="30"/>
          <w:szCs w:val="30"/>
        </w:rPr>
        <w:t>11</w:t>
      </w:r>
      <w:r>
        <w:rPr>
          <w:rFonts w:hint="eastAsia" w:ascii="仿宋" w:hAnsi="仿宋" w:eastAsia="仿宋" w:cs="宋体"/>
          <w:color w:val="000000"/>
          <w:sz w:val="30"/>
          <w:szCs w:val="30"/>
        </w:rPr>
        <w:t>日</w:t>
      </w:r>
      <w:r>
        <w:rPr>
          <w:rFonts w:hint="eastAsia" w:ascii="仿宋" w:hAnsi="仿宋" w:eastAsia="仿宋"/>
          <w:color w:val="000000"/>
          <w:sz w:val="30"/>
          <w:szCs w:val="30"/>
        </w:rPr>
        <w:t>-9</w:t>
      </w:r>
      <w:r>
        <w:rPr>
          <w:rFonts w:hint="eastAsia" w:ascii="仿宋" w:hAnsi="仿宋" w:eastAsia="仿宋" w:cs="宋体"/>
          <w:color w:val="000000"/>
          <w:sz w:val="30"/>
          <w:szCs w:val="30"/>
        </w:rPr>
        <w:t>月</w:t>
      </w:r>
      <w:r>
        <w:rPr>
          <w:rFonts w:hint="eastAsia" w:ascii="仿宋" w:hAnsi="仿宋" w:eastAsia="仿宋"/>
          <w:color w:val="000000"/>
          <w:sz w:val="30"/>
          <w:szCs w:val="30"/>
        </w:rPr>
        <w:t>30</w:t>
      </w:r>
      <w:r>
        <w:rPr>
          <w:rFonts w:hint="eastAsia" w:ascii="仿宋" w:hAnsi="仿宋" w:eastAsia="仿宋" w:cs="宋体"/>
          <w:color w:val="000000"/>
          <w:sz w:val="30"/>
          <w:szCs w:val="30"/>
        </w:rPr>
        <w:t>日）</w:t>
      </w:r>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w:t>
      </w:r>
      <w:r>
        <w:rPr>
          <w:rFonts w:hint="eastAsia" w:ascii="仿宋" w:hAnsi="仿宋" w:eastAsia="仿宋"/>
          <w:color w:val="000000"/>
          <w:sz w:val="30"/>
          <w:szCs w:val="30"/>
        </w:rPr>
        <w:t>1</w:t>
      </w:r>
      <w:r>
        <w:rPr>
          <w:rFonts w:hint="eastAsia" w:ascii="仿宋" w:hAnsi="仿宋" w:eastAsia="仿宋" w:cs="宋体"/>
          <w:color w:val="000000"/>
          <w:sz w:val="30"/>
          <w:szCs w:val="30"/>
        </w:rPr>
        <w:t>）撰写报告。按照规定的文本格式和要求撰写绩效评价报告。</w:t>
      </w:r>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w:t>
      </w:r>
      <w:r>
        <w:rPr>
          <w:rFonts w:hint="eastAsia" w:ascii="仿宋" w:hAnsi="仿宋" w:eastAsia="仿宋"/>
          <w:color w:val="000000"/>
          <w:sz w:val="30"/>
          <w:szCs w:val="30"/>
        </w:rPr>
        <w:t>2</w:t>
      </w:r>
      <w:r>
        <w:rPr>
          <w:rFonts w:hint="eastAsia" w:ascii="仿宋" w:hAnsi="仿宋" w:eastAsia="仿宋" w:cs="宋体"/>
          <w:color w:val="000000"/>
          <w:sz w:val="30"/>
          <w:szCs w:val="30"/>
        </w:rPr>
        <w:t>）提交报告。在规定的时间内向组织实施绩效评价的财政部门或预算部门提交绩效评价报告。</w:t>
      </w:r>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w:t>
      </w:r>
      <w:r>
        <w:rPr>
          <w:rFonts w:hint="eastAsia" w:ascii="仿宋" w:hAnsi="仿宋" w:eastAsia="仿宋"/>
          <w:color w:val="000000"/>
          <w:sz w:val="30"/>
          <w:szCs w:val="30"/>
        </w:rPr>
        <w:t>3</w:t>
      </w:r>
      <w:r>
        <w:rPr>
          <w:rFonts w:hint="eastAsia" w:ascii="仿宋" w:hAnsi="仿宋" w:eastAsia="仿宋" w:cs="宋体"/>
          <w:color w:val="000000"/>
          <w:sz w:val="30"/>
          <w:szCs w:val="30"/>
        </w:rPr>
        <w:t>）建立档案。评价工作结束后，评价工作组应妥善保管工作底稿和评价报告等有关资料，建立绩效评价工作档案。</w:t>
      </w:r>
    </w:p>
    <w:p>
      <w:pPr>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w:t>
      </w:r>
      <w:r>
        <w:rPr>
          <w:rFonts w:hint="eastAsia" w:ascii="仿宋" w:hAnsi="仿宋" w:eastAsia="仿宋"/>
          <w:color w:val="000000"/>
          <w:sz w:val="30"/>
          <w:szCs w:val="30"/>
        </w:rPr>
        <w:t>4</w:t>
      </w:r>
      <w:r>
        <w:rPr>
          <w:rFonts w:hint="eastAsia" w:ascii="仿宋" w:hAnsi="仿宋" w:eastAsia="仿宋" w:cs="宋体"/>
          <w:color w:val="000000"/>
          <w:sz w:val="30"/>
          <w:szCs w:val="30"/>
        </w:rPr>
        <w:t>）报告修改。评价组根据财政部门对绩效评价报告进行评审情况，对报告进行修改或完善</w:t>
      </w:r>
      <w:r>
        <w:rPr>
          <w:rFonts w:hint="eastAsia" w:ascii="仿宋" w:hAnsi="仿宋" w:eastAsia="仿宋"/>
          <w:color w:val="000000"/>
          <w:sz w:val="30"/>
          <w:szCs w:val="30"/>
        </w:rPr>
        <w:t>。</w:t>
      </w:r>
    </w:p>
    <w:p>
      <w:pPr>
        <w:pStyle w:val="2"/>
        <w:spacing w:before="0" w:after="0" w:line="360" w:lineRule="auto"/>
        <w:ind w:firstLine="602" w:firstLineChars="200"/>
        <w:rPr>
          <w:rFonts w:ascii="仿宋" w:hAnsi="仿宋" w:eastAsia="仿宋"/>
          <w:bCs w:val="0"/>
          <w:color w:val="000000"/>
          <w:sz w:val="30"/>
          <w:szCs w:val="30"/>
        </w:rPr>
      </w:pPr>
      <w:bookmarkStart w:id="14" w:name="_Toc24633798"/>
      <w:r>
        <w:rPr>
          <w:rFonts w:hint="eastAsia" w:ascii="仿宋" w:hAnsi="仿宋" w:eastAsia="仿宋"/>
          <w:bCs w:val="0"/>
          <w:color w:val="000000"/>
          <w:sz w:val="30"/>
          <w:szCs w:val="30"/>
        </w:rPr>
        <w:t>三、评价结论及绩效评价指标分析</w:t>
      </w:r>
      <w:bookmarkEnd w:id="14"/>
    </w:p>
    <w:p>
      <w:pPr>
        <w:pStyle w:val="3"/>
        <w:spacing w:before="0" w:after="0" w:line="360" w:lineRule="auto"/>
        <w:ind w:firstLine="602" w:firstLineChars="200"/>
        <w:rPr>
          <w:rFonts w:ascii="仿宋" w:hAnsi="仿宋" w:eastAsia="仿宋"/>
          <w:color w:val="000000"/>
          <w:sz w:val="30"/>
          <w:szCs w:val="30"/>
        </w:rPr>
      </w:pPr>
      <w:bookmarkStart w:id="15" w:name="_Toc24633799"/>
      <w:r>
        <w:rPr>
          <w:rFonts w:ascii="仿宋" w:hAnsi="仿宋" w:eastAsia="仿宋"/>
          <w:color w:val="000000"/>
          <w:sz w:val="30"/>
          <w:szCs w:val="30"/>
        </w:rPr>
        <w:t>（一）评价结论</w:t>
      </w:r>
      <w:bookmarkEnd w:id="15"/>
    </w:p>
    <w:p>
      <w:pPr>
        <w:spacing w:line="600" w:lineRule="exact"/>
        <w:ind w:firstLine="600" w:firstLineChars="200"/>
        <w:rPr>
          <w:rFonts w:ascii="仿宋" w:hAnsi="仿宋" w:eastAsia="仿宋"/>
          <w:bCs/>
          <w:sz w:val="30"/>
          <w:szCs w:val="30"/>
        </w:rPr>
      </w:pPr>
      <w:r>
        <w:rPr>
          <w:rFonts w:ascii="仿宋" w:hAnsi="仿宋" w:eastAsia="仿宋"/>
          <w:bCs/>
          <w:sz w:val="30"/>
          <w:szCs w:val="30"/>
        </w:rPr>
        <w:t>项目组按照本项目绩效评价工作方案确定的绩效评价指标、评价标准和评价方法，在对评价对象的绩效情况进行定量和定性分析的基础上，经综合评价，本项目得分8</w:t>
      </w:r>
      <w:r>
        <w:rPr>
          <w:rFonts w:hint="eastAsia" w:ascii="仿宋" w:hAnsi="仿宋" w:eastAsia="仿宋"/>
          <w:bCs/>
          <w:sz w:val="30"/>
          <w:szCs w:val="30"/>
        </w:rPr>
        <w:t>2</w:t>
      </w:r>
      <w:r>
        <w:rPr>
          <w:rFonts w:ascii="仿宋" w:hAnsi="仿宋" w:eastAsia="仿宋"/>
          <w:bCs/>
          <w:sz w:val="30"/>
          <w:szCs w:val="30"/>
        </w:rPr>
        <w:t>分，绩效评价等级为“</w:t>
      </w:r>
      <w:r>
        <w:rPr>
          <w:rFonts w:hint="eastAsia" w:ascii="仿宋" w:hAnsi="仿宋" w:eastAsia="仿宋"/>
          <w:bCs/>
          <w:sz w:val="30"/>
          <w:szCs w:val="30"/>
        </w:rPr>
        <w:t>良</w:t>
      </w:r>
      <w:r>
        <w:rPr>
          <w:rFonts w:ascii="仿宋" w:hAnsi="仿宋" w:eastAsia="仿宋"/>
          <w:bCs/>
          <w:sz w:val="30"/>
          <w:szCs w:val="30"/>
        </w:rPr>
        <w:t>”。其中：</w:t>
      </w:r>
      <w:r>
        <w:rPr>
          <w:rFonts w:hint="eastAsia" w:ascii="仿宋" w:hAnsi="仿宋" w:eastAsia="仿宋"/>
          <w:bCs/>
          <w:sz w:val="30"/>
          <w:szCs w:val="30"/>
        </w:rPr>
        <w:t>报备类指标标准为8分，</w:t>
      </w:r>
      <w:r>
        <w:rPr>
          <w:rFonts w:ascii="仿宋" w:hAnsi="仿宋" w:eastAsia="仿宋"/>
          <w:bCs/>
          <w:sz w:val="30"/>
          <w:szCs w:val="30"/>
        </w:rPr>
        <w:t>考评得分为</w:t>
      </w:r>
      <w:r>
        <w:rPr>
          <w:rFonts w:hint="eastAsia" w:ascii="仿宋" w:hAnsi="仿宋" w:eastAsia="仿宋"/>
          <w:bCs/>
          <w:sz w:val="30"/>
          <w:szCs w:val="30"/>
        </w:rPr>
        <w:t>5</w:t>
      </w:r>
      <w:r>
        <w:rPr>
          <w:rFonts w:ascii="仿宋" w:hAnsi="仿宋" w:eastAsia="仿宋"/>
          <w:bCs/>
          <w:sz w:val="30"/>
          <w:szCs w:val="30"/>
        </w:rPr>
        <w:t>分</w:t>
      </w:r>
      <w:r>
        <w:rPr>
          <w:rFonts w:hint="eastAsia" w:ascii="仿宋" w:hAnsi="仿宋" w:eastAsia="仿宋"/>
          <w:bCs/>
          <w:sz w:val="30"/>
          <w:szCs w:val="30"/>
        </w:rPr>
        <w:t>；决策</w:t>
      </w:r>
      <w:r>
        <w:rPr>
          <w:rFonts w:ascii="仿宋" w:hAnsi="仿宋" w:eastAsia="仿宋"/>
          <w:bCs/>
          <w:sz w:val="30"/>
          <w:szCs w:val="30"/>
        </w:rPr>
        <w:t>类指标标准分</w:t>
      </w:r>
      <w:r>
        <w:rPr>
          <w:rFonts w:hint="eastAsia" w:ascii="仿宋" w:hAnsi="仿宋" w:eastAsia="仿宋"/>
          <w:bCs/>
          <w:sz w:val="30"/>
          <w:szCs w:val="30"/>
        </w:rPr>
        <w:t>16</w:t>
      </w:r>
      <w:r>
        <w:rPr>
          <w:rFonts w:ascii="仿宋" w:hAnsi="仿宋" w:eastAsia="仿宋"/>
          <w:bCs/>
          <w:sz w:val="30"/>
          <w:szCs w:val="30"/>
        </w:rPr>
        <w:t>分，考评得分为1</w:t>
      </w:r>
      <w:r>
        <w:rPr>
          <w:rFonts w:hint="eastAsia" w:ascii="仿宋" w:hAnsi="仿宋" w:eastAsia="仿宋"/>
          <w:bCs/>
          <w:sz w:val="30"/>
          <w:szCs w:val="30"/>
        </w:rPr>
        <w:t>3</w:t>
      </w:r>
      <w:r>
        <w:rPr>
          <w:rFonts w:ascii="仿宋" w:hAnsi="仿宋" w:eastAsia="仿宋"/>
          <w:bCs/>
          <w:sz w:val="30"/>
          <w:szCs w:val="30"/>
        </w:rPr>
        <w:t>分；过程类指标标准分</w:t>
      </w:r>
      <w:r>
        <w:rPr>
          <w:rFonts w:hint="eastAsia" w:ascii="仿宋" w:hAnsi="仿宋" w:eastAsia="仿宋"/>
          <w:bCs/>
          <w:sz w:val="30"/>
          <w:szCs w:val="30"/>
        </w:rPr>
        <w:t>15</w:t>
      </w:r>
      <w:r>
        <w:rPr>
          <w:rFonts w:ascii="仿宋" w:hAnsi="仿宋" w:eastAsia="仿宋"/>
          <w:bCs/>
          <w:sz w:val="30"/>
          <w:szCs w:val="30"/>
        </w:rPr>
        <w:t>分，考评得分为</w:t>
      </w:r>
      <w:r>
        <w:rPr>
          <w:rFonts w:hint="eastAsia" w:ascii="仿宋" w:hAnsi="仿宋" w:eastAsia="仿宋"/>
          <w:bCs/>
          <w:sz w:val="30"/>
          <w:szCs w:val="30"/>
        </w:rPr>
        <w:t>12.50</w:t>
      </w:r>
      <w:r>
        <w:rPr>
          <w:rFonts w:ascii="仿宋" w:hAnsi="仿宋" w:eastAsia="仿宋"/>
          <w:bCs/>
          <w:sz w:val="30"/>
          <w:szCs w:val="30"/>
        </w:rPr>
        <w:t>分；产出类指标标准分</w:t>
      </w:r>
      <w:r>
        <w:rPr>
          <w:rFonts w:hint="eastAsia" w:ascii="仿宋" w:hAnsi="仿宋" w:eastAsia="仿宋"/>
          <w:bCs/>
          <w:sz w:val="30"/>
          <w:szCs w:val="30"/>
        </w:rPr>
        <w:t>35</w:t>
      </w:r>
      <w:r>
        <w:rPr>
          <w:rFonts w:ascii="仿宋" w:hAnsi="仿宋" w:eastAsia="仿宋"/>
          <w:bCs/>
          <w:sz w:val="30"/>
          <w:szCs w:val="30"/>
        </w:rPr>
        <w:t>分，考评得分为</w:t>
      </w:r>
      <w:r>
        <w:rPr>
          <w:rFonts w:hint="eastAsia" w:ascii="仿宋" w:hAnsi="仿宋" w:eastAsia="仿宋"/>
          <w:bCs/>
          <w:sz w:val="30"/>
          <w:szCs w:val="30"/>
        </w:rPr>
        <w:t>34</w:t>
      </w:r>
      <w:r>
        <w:rPr>
          <w:rFonts w:ascii="仿宋" w:hAnsi="仿宋" w:eastAsia="仿宋"/>
          <w:bCs/>
          <w:sz w:val="30"/>
          <w:szCs w:val="30"/>
        </w:rPr>
        <w:t>分；效益类指标标准分</w:t>
      </w:r>
      <w:r>
        <w:rPr>
          <w:rFonts w:hint="eastAsia" w:ascii="仿宋" w:hAnsi="仿宋" w:eastAsia="仿宋"/>
          <w:bCs/>
          <w:sz w:val="30"/>
          <w:szCs w:val="30"/>
        </w:rPr>
        <w:t>26</w:t>
      </w:r>
      <w:r>
        <w:rPr>
          <w:rFonts w:ascii="仿宋" w:hAnsi="仿宋" w:eastAsia="仿宋"/>
          <w:bCs/>
          <w:sz w:val="30"/>
          <w:szCs w:val="30"/>
        </w:rPr>
        <w:t>分，考评得分为</w:t>
      </w:r>
      <w:r>
        <w:rPr>
          <w:rFonts w:hint="eastAsia" w:ascii="仿宋" w:hAnsi="仿宋" w:eastAsia="仿宋"/>
          <w:bCs/>
          <w:sz w:val="30"/>
          <w:szCs w:val="30"/>
        </w:rPr>
        <w:t>17.50</w:t>
      </w:r>
      <w:r>
        <w:rPr>
          <w:rFonts w:ascii="仿宋" w:hAnsi="仿宋" w:eastAsia="仿宋"/>
          <w:bCs/>
          <w:sz w:val="30"/>
          <w:szCs w:val="30"/>
        </w:rPr>
        <w:t>分。</w:t>
      </w:r>
    </w:p>
    <w:p>
      <w:pPr>
        <w:autoSpaceDE w:val="0"/>
        <w:autoSpaceDN w:val="0"/>
        <w:adjustRightInd w:val="0"/>
        <w:jc w:val="center"/>
        <w:rPr>
          <w:rFonts w:ascii="仿宋" w:hAnsi="仿宋" w:eastAsia="仿宋" w:cs="??_GB2312"/>
          <w:kern w:val="0"/>
          <w:sz w:val="30"/>
          <w:szCs w:val="30"/>
        </w:rPr>
      </w:pPr>
      <w:r>
        <w:rPr>
          <w:rFonts w:hint="eastAsia" w:ascii="仿宋" w:hAnsi="仿宋" w:eastAsia="仿宋"/>
          <w:bCs/>
          <w:sz w:val="30"/>
          <w:szCs w:val="30"/>
        </w:rPr>
        <w:t>南山生态修复荒滩绿化项目</w:t>
      </w:r>
      <w:r>
        <w:rPr>
          <w:rFonts w:ascii="仿宋" w:hAnsi="仿宋" w:eastAsia="仿宋"/>
          <w:bCs/>
          <w:sz w:val="30"/>
          <w:szCs w:val="30"/>
        </w:rPr>
        <w:t>工作综合评价结果如下：</w:t>
      </w:r>
    </w:p>
    <w:tbl>
      <w:tblPr>
        <w:tblStyle w:val="14"/>
        <w:tblW w:w="5000" w:type="pct"/>
        <w:tblInd w:w="0" w:type="dxa"/>
        <w:tblLayout w:type="autofit"/>
        <w:tblCellMar>
          <w:top w:w="0" w:type="dxa"/>
          <w:left w:w="108" w:type="dxa"/>
          <w:bottom w:w="0" w:type="dxa"/>
          <w:right w:w="108" w:type="dxa"/>
        </w:tblCellMar>
      </w:tblPr>
      <w:tblGrid>
        <w:gridCol w:w="1601"/>
        <w:gridCol w:w="746"/>
        <w:gridCol w:w="1111"/>
        <w:gridCol w:w="948"/>
        <w:gridCol w:w="1110"/>
        <w:gridCol w:w="1110"/>
        <w:gridCol w:w="948"/>
        <w:gridCol w:w="948"/>
      </w:tblGrid>
      <w:tr>
        <w:tblPrEx>
          <w:tblCellMar>
            <w:top w:w="0" w:type="dxa"/>
            <w:left w:w="108" w:type="dxa"/>
            <w:bottom w:w="0" w:type="dxa"/>
            <w:right w:w="108" w:type="dxa"/>
          </w:tblCellMar>
        </w:tblPrEx>
        <w:trPr>
          <w:trHeight w:val="285" w:hRule="atLeast"/>
        </w:trPr>
        <w:tc>
          <w:tcPr>
            <w:tcW w:w="940" w:type="pct"/>
            <w:tcBorders>
              <w:top w:val="single" w:color="auto" w:sz="4" w:space="0"/>
              <w:left w:val="single" w:color="auto" w:sz="4" w:space="0"/>
              <w:bottom w:val="single" w:color="auto" w:sz="4" w:space="0"/>
              <w:right w:val="single" w:color="auto" w:sz="4" w:space="0"/>
            </w:tcBorders>
            <w:vAlign w:val="center"/>
          </w:tcPr>
          <w:p>
            <w:pPr>
              <w:adjustRightInd w:val="0"/>
              <w:jc w:val="center"/>
              <w:rPr>
                <w:rFonts w:ascii="??" w:hAnsi="??" w:cs="??_GB2312"/>
                <w:b/>
                <w:bCs/>
                <w:kern w:val="0"/>
                <w:szCs w:val="21"/>
              </w:rPr>
            </w:pPr>
            <w:r>
              <w:rPr>
                <w:rFonts w:hint="eastAsia" w:ascii="宋体" w:hAnsi="宋体" w:cs="宋体"/>
                <w:b/>
                <w:bCs/>
                <w:kern w:val="0"/>
                <w:szCs w:val="21"/>
              </w:rPr>
              <w:t>评级指标</w:t>
            </w:r>
          </w:p>
        </w:tc>
        <w:tc>
          <w:tcPr>
            <w:tcW w:w="438" w:type="pct"/>
            <w:tcBorders>
              <w:top w:val="single" w:color="auto" w:sz="4" w:space="0"/>
              <w:left w:val="nil"/>
              <w:bottom w:val="single" w:color="auto" w:sz="4" w:space="0"/>
              <w:right w:val="single" w:color="auto" w:sz="4" w:space="0"/>
            </w:tcBorders>
          </w:tcPr>
          <w:p>
            <w:pPr>
              <w:adjustRightInd w:val="0"/>
              <w:jc w:val="center"/>
              <w:rPr>
                <w:rFonts w:ascii="宋体" w:hAnsi="宋体" w:cs="宋体"/>
                <w:b/>
                <w:bCs/>
                <w:kern w:val="0"/>
                <w:szCs w:val="21"/>
              </w:rPr>
            </w:pPr>
            <w:r>
              <w:rPr>
                <w:rFonts w:hint="eastAsia" w:ascii="宋体" w:hAnsi="宋体" w:cs="宋体"/>
                <w:b/>
                <w:bCs/>
                <w:kern w:val="0"/>
                <w:szCs w:val="21"/>
              </w:rPr>
              <w:t>报备</w:t>
            </w:r>
          </w:p>
        </w:tc>
        <w:tc>
          <w:tcPr>
            <w:tcW w:w="652" w:type="pct"/>
            <w:tcBorders>
              <w:top w:val="single" w:color="auto" w:sz="4" w:space="0"/>
              <w:left w:val="single" w:color="auto" w:sz="4" w:space="0"/>
              <w:bottom w:val="single" w:color="auto" w:sz="4" w:space="0"/>
              <w:right w:val="single" w:color="auto" w:sz="4" w:space="0"/>
            </w:tcBorders>
            <w:vAlign w:val="center"/>
          </w:tcPr>
          <w:p>
            <w:pPr>
              <w:adjustRightInd w:val="0"/>
              <w:jc w:val="center"/>
              <w:rPr>
                <w:rFonts w:ascii="??" w:hAnsi="??" w:cs="??_GB2312"/>
                <w:b/>
                <w:bCs/>
                <w:kern w:val="0"/>
                <w:szCs w:val="21"/>
              </w:rPr>
            </w:pPr>
            <w:r>
              <w:rPr>
                <w:rFonts w:hint="eastAsia" w:ascii="宋体" w:hAnsi="宋体" w:cs="宋体"/>
                <w:b/>
                <w:bCs/>
                <w:kern w:val="0"/>
                <w:szCs w:val="21"/>
              </w:rPr>
              <w:t>决策</w:t>
            </w:r>
          </w:p>
        </w:tc>
        <w:tc>
          <w:tcPr>
            <w:tcW w:w="556" w:type="pct"/>
            <w:tcBorders>
              <w:top w:val="single" w:color="auto" w:sz="4" w:space="0"/>
              <w:left w:val="nil"/>
              <w:bottom w:val="single" w:color="auto" w:sz="4" w:space="0"/>
              <w:right w:val="single" w:color="auto" w:sz="4" w:space="0"/>
            </w:tcBorders>
            <w:vAlign w:val="center"/>
          </w:tcPr>
          <w:p>
            <w:pPr>
              <w:adjustRightInd w:val="0"/>
              <w:jc w:val="center"/>
              <w:rPr>
                <w:rFonts w:ascii="??" w:hAnsi="??" w:cs="??_GB2312"/>
                <w:b/>
                <w:bCs/>
                <w:kern w:val="0"/>
                <w:szCs w:val="21"/>
              </w:rPr>
            </w:pPr>
            <w:r>
              <w:rPr>
                <w:rFonts w:hint="eastAsia" w:ascii="宋体" w:hAnsi="宋体" w:cs="宋体"/>
                <w:b/>
                <w:bCs/>
                <w:kern w:val="0"/>
                <w:szCs w:val="21"/>
              </w:rPr>
              <w:t>过程</w:t>
            </w:r>
          </w:p>
        </w:tc>
        <w:tc>
          <w:tcPr>
            <w:tcW w:w="651" w:type="pct"/>
            <w:tcBorders>
              <w:top w:val="single" w:color="auto" w:sz="4" w:space="0"/>
              <w:left w:val="nil"/>
              <w:bottom w:val="single" w:color="auto" w:sz="4" w:space="0"/>
              <w:right w:val="single" w:color="auto" w:sz="4" w:space="0"/>
            </w:tcBorders>
            <w:vAlign w:val="center"/>
          </w:tcPr>
          <w:p>
            <w:pPr>
              <w:adjustRightInd w:val="0"/>
              <w:jc w:val="center"/>
              <w:rPr>
                <w:rFonts w:ascii="??" w:hAnsi="??" w:cs="??_GB2312"/>
                <w:b/>
                <w:bCs/>
                <w:kern w:val="0"/>
                <w:szCs w:val="21"/>
              </w:rPr>
            </w:pPr>
            <w:r>
              <w:rPr>
                <w:rFonts w:hint="eastAsia" w:ascii="宋体" w:hAnsi="宋体" w:cs="宋体"/>
                <w:b/>
                <w:bCs/>
                <w:kern w:val="0"/>
                <w:szCs w:val="21"/>
              </w:rPr>
              <w:t>产出</w:t>
            </w:r>
          </w:p>
        </w:tc>
        <w:tc>
          <w:tcPr>
            <w:tcW w:w="651" w:type="pct"/>
            <w:tcBorders>
              <w:top w:val="single" w:color="auto" w:sz="4" w:space="0"/>
              <w:left w:val="nil"/>
              <w:bottom w:val="single" w:color="auto" w:sz="4" w:space="0"/>
              <w:right w:val="single" w:color="auto" w:sz="4" w:space="0"/>
            </w:tcBorders>
            <w:vAlign w:val="center"/>
          </w:tcPr>
          <w:p>
            <w:pPr>
              <w:adjustRightInd w:val="0"/>
              <w:jc w:val="center"/>
              <w:rPr>
                <w:rFonts w:ascii="??" w:hAnsi="??" w:cs="??_GB2312"/>
                <w:b/>
                <w:bCs/>
                <w:kern w:val="0"/>
                <w:szCs w:val="21"/>
              </w:rPr>
            </w:pPr>
            <w:r>
              <w:rPr>
                <w:rFonts w:hint="eastAsia" w:ascii="宋体" w:hAnsi="宋体" w:cs="宋体"/>
                <w:b/>
                <w:bCs/>
                <w:kern w:val="0"/>
                <w:szCs w:val="21"/>
              </w:rPr>
              <w:t>效益</w:t>
            </w:r>
          </w:p>
        </w:tc>
        <w:tc>
          <w:tcPr>
            <w:tcW w:w="556" w:type="pct"/>
            <w:tcBorders>
              <w:top w:val="single" w:color="auto" w:sz="4" w:space="0"/>
              <w:left w:val="nil"/>
              <w:bottom w:val="single" w:color="auto" w:sz="4" w:space="0"/>
              <w:right w:val="single" w:color="auto" w:sz="4" w:space="0"/>
            </w:tcBorders>
            <w:vAlign w:val="center"/>
          </w:tcPr>
          <w:p>
            <w:pPr>
              <w:adjustRightInd w:val="0"/>
              <w:jc w:val="center"/>
              <w:rPr>
                <w:rFonts w:ascii="??" w:hAnsi="??" w:cs="??_GB2312"/>
                <w:b/>
                <w:bCs/>
                <w:kern w:val="0"/>
                <w:szCs w:val="21"/>
              </w:rPr>
            </w:pPr>
            <w:r>
              <w:rPr>
                <w:rFonts w:hint="eastAsia" w:ascii="宋体" w:hAnsi="宋体" w:cs="宋体"/>
                <w:b/>
                <w:bCs/>
                <w:kern w:val="0"/>
                <w:szCs w:val="21"/>
              </w:rPr>
              <w:t>总分</w:t>
            </w:r>
          </w:p>
        </w:tc>
        <w:tc>
          <w:tcPr>
            <w:tcW w:w="556" w:type="pct"/>
            <w:tcBorders>
              <w:top w:val="single" w:color="auto" w:sz="4" w:space="0"/>
              <w:left w:val="nil"/>
              <w:bottom w:val="single" w:color="auto" w:sz="4" w:space="0"/>
              <w:right w:val="single" w:color="auto" w:sz="4" w:space="0"/>
            </w:tcBorders>
            <w:vAlign w:val="center"/>
          </w:tcPr>
          <w:p>
            <w:pPr>
              <w:adjustRightInd w:val="0"/>
              <w:jc w:val="center"/>
              <w:rPr>
                <w:rFonts w:ascii="??" w:hAnsi="??" w:cs="??_GB2312"/>
                <w:b/>
                <w:bCs/>
                <w:kern w:val="0"/>
                <w:szCs w:val="21"/>
              </w:rPr>
            </w:pPr>
            <w:r>
              <w:rPr>
                <w:rFonts w:hint="eastAsia" w:ascii="宋体" w:hAnsi="宋体" w:cs="宋体"/>
                <w:b/>
                <w:bCs/>
                <w:kern w:val="0"/>
                <w:szCs w:val="21"/>
              </w:rPr>
              <w:t>等级</w:t>
            </w:r>
          </w:p>
        </w:tc>
      </w:tr>
      <w:tr>
        <w:tblPrEx>
          <w:tblCellMar>
            <w:top w:w="0" w:type="dxa"/>
            <w:left w:w="108" w:type="dxa"/>
            <w:bottom w:w="0" w:type="dxa"/>
            <w:right w:w="108" w:type="dxa"/>
          </w:tblCellMar>
        </w:tblPrEx>
        <w:trPr>
          <w:trHeight w:val="285" w:hRule="atLeast"/>
        </w:trPr>
        <w:tc>
          <w:tcPr>
            <w:tcW w:w="940" w:type="pct"/>
            <w:tcBorders>
              <w:top w:val="nil"/>
              <w:left w:val="single" w:color="auto" w:sz="4" w:space="0"/>
              <w:bottom w:val="single" w:color="auto" w:sz="4" w:space="0"/>
              <w:right w:val="single" w:color="auto" w:sz="4" w:space="0"/>
            </w:tcBorders>
            <w:vAlign w:val="center"/>
          </w:tcPr>
          <w:p>
            <w:pPr>
              <w:adjustRightInd w:val="0"/>
              <w:ind w:leftChars="-1" w:hanging="2" w:hangingChars="1"/>
              <w:jc w:val="center"/>
              <w:rPr>
                <w:rFonts w:ascii="??" w:hAnsi="??" w:cs="??_GB2312"/>
                <w:kern w:val="0"/>
                <w:szCs w:val="21"/>
              </w:rPr>
            </w:pPr>
            <w:r>
              <w:rPr>
                <w:rFonts w:hint="eastAsia" w:ascii="宋体" w:hAnsi="宋体" w:cs="宋体"/>
                <w:kern w:val="0"/>
                <w:szCs w:val="21"/>
              </w:rPr>
              <w:t>评价得分</w:t>
            </w:r>
          </w:p>
        </w:tc>
        <w:tc>
          <w:tcPr>
            <w:tcW w:w="438" w:type="pct"/>
            <w:tcBorders>
              <w:top w:val="single" w:color="auto" w:sz="4" w:space="0"/>
              <w:left w:val="nil"/>
              <w:bottom w:val="single" w:color="auto" w:sz="4" w:space="0"/>
              <w:right w:val="single" w:color="auto" w:sz="4" w:space="0"/>
            </w:tcBorders>
          </w:tcPr>
          <w:p>
            <w:pPr>
              <w:adjustRightInd w:val="0"/>
              <w:ind w:leftChars="-1" w:hanging="2" w:hangingChars="1"/>
              <w:jc w:val="center"/>
              <w:rPr>
                <w:rFonts w:ascii="??" w:hAnsi="??" w:cs="??_GB2312"/>
                <w:kern w:val="0"/>
                <w:szCs w:val="21"/>
              </w:rPr>
            </w:pPr>
            <w:r>
              <w:rPr>
                <w:rFonts w:hint="eastAsia" w:ascii="??" w:hAnsi="??" w:cs="??_GB2312"/>
                <w:kern w:val="0"/>
                <w:szCs w:val="21"/>
              </w:rPr>
              <w:t>5</w:t>
            </w:r>
          </w:p>
        </w:tc>
        <w:tc>
          <w:tcPr>
            <w:tcW w:w="652" w:type="pct"/>
            <w:tcBorders>
              <w:top w:val="nil"/>
              <w:left w:val="single" w:color="auto" w:sz="4" w:space="0"/>
              <w:bottom w:val="single" w:color="auto" w:sz="4" w:space="0"/>
              <w:right w:val="single" w:color="auto" w:sz="4" w:space="0"/>
            </w:tcBorders>
            <w:vAlign w:val="center"/>
          </w:tcPr>
          <w:p>
            <w:pPr>
              <w:adjustRightInd w:val="0"/>
              <w:ind w:leftChars="-1" w:hanging="2" w:hangingChars="1"/>
              <w:jc w:val="center"/>
              <w:rPr>
                <w:rFonts w:ascii="??" w:hAnsi="??" w:cs="??_GB2312"/>
                <w:kern w:val="0"/>
                <w:szCs w:val="21"/>
              </w:rPr>
            </w:pPr>
            <w:r>
              <w:rPr>
                <w:rFonts w:ascii="??" w:hAnsi="??" w:cs="??_GB2312"/>
                <w:kern w:val="0"/>
                <w:szCs w:val="21"/>
              </w:rPr>
              <w:t>1</w:t>
            </w:r>
            <w:r>
              <w:rPr>
                <w:rFonts w:hint="eastAsia" w:ascii="??" w:hAnsi="??" w:cs="??_GB2312"/>
                <w:kern w:val="0"/>
                <w:szCs w:val="21"/>
              </w:rPr>
              <w:t>3</w:t>
            </w:r>
          </w:p>
        </w:tc>
        <w:tc>
          <w:tcPr>
            <w:tcW w:w="556" w:type="pct"/>
            <w:tcBorders>
              <w:top w:val="nil"/>
              <w:left w:val="nil"/>
              <w:bottom w:val="single" w:color="auto" w:sz="4" w:space="0"/>
              <w:right w:val="single" w:color="auto" w:sz="4" w:space="0"/>
            </w:tcBorders>
            <w:vAlign w:val="center"/>
          </w:tcPr>
          <w:p>
            <w:pPr>
              <w:adjustRightInd w:val="0"/>
              <w:ind w:leftChars="-1" w:hanging="2" w:hangingChars="1"/>
              <w:jc w:val="center"/>
              <w:rPr>
                <w:rFonts w:ascii="??" w:hAnsi="??" w:cs="??_GB2312"/>
                <w:kern w:val="0"/>
                <w:szCs w:val="21"/>
              </w:rPr>
            </w:pPr>
            <w:r>
              <w:rPr>
                <w:rFonts w:hint="eastAsia" w:ascii="??" w:hAnsi="??" w:cs="??_GB2312"/>
                <w:kern w:val="0"/>
                <w:szCs w:val="21"/>
              </w:rPr>
              <w:t>12.50</w:t>
            </w:r>
          </w:p>
        </w:tc>
        <w:tc>
          <w:tcPr>
            <w:tcW w:w="651" w:type="pct"/>
            <w:tcBorders>
              <w:top w:val="nil"/>
              <w:left w:val="nil"/>
              <w:bottom w:val="single" w:color="auto" w:sz="4" w:space="0"/>
              <w:right w:val="single" w:color="auto" w:sz="4" w:space="0"/>
            </w:tcBorders>
            <w:vAlign w:val="center"/>
          </w:tcPr>
          <w:p>
            <w:pPr>
              <w:adjustRightInd w:val="0"/>
              <w:ind w:leftChars="-1" w:hanging="2" w:hangingChars="1"/>
              <w:jc w:val="center"/>
              <w:rPr>
                <w:rFonts w:ascii="??" w:hAnsi="??" w:cs="??_GB2312"/>
                <w:kern w:val="0"/>
                <w:szCs w:val="21"/>
              </w:rPr>
            </w:pPr>
            <w:r>
              <w:rPr>
                <w:rFonts w:hint="eastAsia" w:ascii="??" w:hAnsi="??" w:cs="??_GB2312"/>
                <w:kern w:val="0"/>
                <w:szCs w:val="21"/>
              </w:rPr>
              <w:t>34</w:t>
            </w:r>
          </w:p>
        </w:tc>
        <w:tc>
          <w:tcPr>
            <w:tcW w:w="651" w:type="pct"/>
            <w:tcBorders>
              <w:top w:val="nil"/>
              <w:left w:val="nil"/>
              <w:bottom w:val="single" w:color="auto" w:sz="4" w:space="0"/>
              <w:right w:val="single" w:color="auto" w:sz="4" w:space="0"/>
            </w:tcBorders>
            <w:vAlign w:val="center"/>
          </w:tcPr>
          <w:p>
            <w:pPr>
              <w:adjustRightInd w:val="0"/>
              <w:ind w:leftChars="-1" w:hanging="2" w:hangingChars="1"/>
              <w:jc w:val="center"/>
              <w:rPr>
                <w:rFonts w:ascii="??" w:hAnsi="??" w:cs="??_GB2312"/>
                <w:kern w:val="0"/>
                <w:szCs w:val="21"/>
              </w:rPr>
            </w:pPr>
            <w:r>
              <w:rPr>
                <w:rFonts w:hint="eastAsia" w:ascii="??" w:hAnsi="??" w:cs="??_GB2312"/>
                <w:kern w:val="0"/>
                <w:szCs w:val="21"/>
              </w:rPr>
              <w:t>17.50</w:t>
            </w:r>
          </w:p>
        </w:tc>
        <w:tc>
          <w:tcPr>
            <w:tcW w:w="556" w:type="pct"/>
            <w:tcBorders>
              <w:top w:val="nil"/>
              <w:left w:val="nil"/>
              <w:bottom w:val="single" w:color="auto" w:sz="4" w:space="0"/>
              <w:right w:val="single" w:color="auto" w:sz="4" w:space="0"/>
            </w:tcBorders>
            <w:vAlign w:val="center"/>
          </w:tcPr>
          <w:p>
            <w:pPr>
              <w:adjustRightInd w:val="0"/>
              <w:ind w:leftChars="-1" w:hanging="2" w:hangingChars="1"/>
              <w:jc w:val="center"/>
              <w:rPr>
                <w:rFonts w:ascii="??" w:hAnsi="??" w:cs="??_GB2312"/>
                <w:kern w:val="0"/>
                <w:szCs w:val="21"/>
              </w:rPr>
            </w:pPr>
            <w:r>
              <w:rPr>
                <w:rFonts w:ascii="??" w:hAnsi="??" w:cs="??_GB2312"/>
                <w:kern w:val="0"/>
                <w:szCs w:val="21"/>
              </w:rPr>
              <w:t>8</w:t>
            </w:r>
            <w:r>
              <w:rPr>
                <w:rFonts w:hint="eastAsia" w:ascii="??" w:hAnsi="??" w:cs="??_GB2312"/>
                <w:kern w:val="0"/>
                <w:szCs w:val="21"/>
              </w:rPr>
              <w:t>2</w:t>
            </w:r>
          </w:p>
        </w:tc>
        <w:tc>
          <w:tcPr>
            <w:tcW w:w="556" w:type="pct"/>
            <w:tcBorders>
              <w:top w:val="nil"/>
              <w:left w:val="nil"/>
              <w:bottom w:val="single" w:color="auto" w:sz="4" w:space="0"/>
              <w:right w:val="single" w:color="auto" w:sz="4" w:space="0"/>
            </w:tcBorders>
            <w:vAlign w:val="center"/>
          </w:tcPr>
          <w:p>
            <w:pPr>
              <w:adjustRightInd w:val="0"/>
              <w:ind w:leftChars="-1" w:hanging="2" w:hangingChars="1"/>
              <w:jc w:val="center"/>
              <w:rPr>
                <w:rFonts w:ascii="??" w:hAnsi="??" w:cs="??_GB2312"/>
                <w:kern w:val="0"/>
                <w:szCs w:val="21"/>
              </w:rPr>
            </w:pPr>
            <w:r>
              <w:rPr>
                <w:rFonts w:hint="eastAsia" w:ascii="??" w:hAnsi="??" w:cs="??_GB2312"/>
                <w:kern w:val="0"/>
                <w:szCs w:val="21"/>
              </w:rPr>
              <w:t>良</w:t>
            </w:r>
          </w:p>
        </w:tc>
      </w:tr>
    </w:tbl>
    <w:p>
      <w:pPr>
        <w:pStyle w:val="3"/>
        <w:spacing w:before="0" w:after="0" w:line="360" w:lineRule="auto"/>
        <w:ind w:firstLine="602" w:firstLineChars="200"/>
        <w:rPr>
          <w:rFonts w:ascii="仿宋" w:hAnsi="仿宋" w:eastAsia="仿宋"/>
          <w:color w:val="000000"/>
          <w:sz w:val="30"/>
          <w:szCs w:val="30"/>
        </w:rPr>
      </w:pPr>
      <w:bookmarkStart w:id="16" w:name="_Toc24633800"/>
      <w:r>
        <w:rPr>
          <w:rFonts w:ascii="仿宋" w:hAnsi="仿宋" w:eastAsia="仿宋"/>
          <w:color w:val="000000"/>
          <w:sz w:val="30"/>
          <w:szCs w:val="30"/>
        </w:rPr>
        <w:t>（二）绩效评价指标分析</w:t>
      </w:r>
      <w:bookmarkEnd w:id="16"/>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1．报备</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报备</w:t>
      </w:r>
      <w:r>
        <w:rPr>
          <w:rFonts w:ascii="仿宋" w:hAnsi="仿宋" w:eastAsia="仿宋"/>
          <w:color w:val="000000"/>
          <w:sz w:val="30"/>
          <w:szCs w:val="30"/>
        </w:rPr>
        <w:t>指标从</w:t>
      </w:r>
      <w:r>
        <w:rPr>
          <w:rFonts w:hint="eastAsia" w:ascii="仿宋" w:hAnsi="仿宋" w:eastAsia="仿宋"/>
          <w:color w:val="000000"/>
          <w:sz w:val="30"/>
          <w:szCs w:val="30"/>
        </w:rPr>
        <w:t>目标申报、项目监控</w:t>
      </w:r>
      <w:r>
        <w:rPr>
          <w:rFonts w:ascii="仿宋" w:hAnsi="仿宋" w:eastAsia="仿宋"/>
          <w:color w:val="000000"/>
          <w:sz w:val="30"/>
          <w:szCs w:val="30"/>
        </w:rPr>
        <w:t>和</w:t>
      </w:r>
      <w:r>
        <w:rPr>
          <w:rFonts w:hint="eastAsia" w:ascii="仿宋" w:hAnsi="仿宋" w:eastAsia="仿宋"/>
          <w:color w:val="000000"/>
          <w:sz w:val="30"/>
          <w:szCs w:val="30"/>
        </w:rPr>
        <w:t>项目自评三</w:t>
      </w:r>
      <w:r>
        <w:rPr>
          <w:rFonts w:ascii="仿宋" w:hAnsi="仿宋" w:eastAsia="仿宋"/>
          <w:color w:val="000000"/>
          <w:sz w:val="30"/>
          <w:szCs w:val="30"/>
        </w:rPr>
        <w:t>个方面进行考察，</w:t>
      </w:r>
      <w:r>
        <w:rPr>
          <w:rFonts w:hint="eastAsia" w:ascii="仿宋" w:hAnsi="仿宋" w:eastAsia="仿宋"/>
          <w:color w:val="000000"/>
          <w:sz w:val="30"/>
          <w:szCs w:val="30"/>
        </w:rPr>
        <w:t>报备</w:t>
      </w:r>
      <w:r>
        <w:rPr>
          <w:rFonts w:ascii="仿宋" w:hAnsi="仿宋" w:eastAsia="仿宋"/>
          <w:color w:val="000000"/>
          <w:sz w:val="30"/>
          <w:szCs w:val="30"/>
        </w:rPr>
        <w:t>类指标分值共计</w:t>
      </w:r>
      <w:r>
        <w:rPr>
          <w:rFonts w:hint="eastAsia" w:ascii="仿宋" w:hAnsi="仿宋" w:eastAsia="仿宋"/>
          <w:color w:val="000000"/>
          <w:sz w:val="30"/>
          <w:szCs w:val="30"/>
        </w:rPr>
        <w:t>8</w:t>
      </w:r>
      <w:r>
        <w:rPr>
          <w:rFonts w:ascii="仿宋" w:hAnsi="仿宋" w:eastAsia="仿宋"/>
          <w:color w:val="000000"/>
          <w:sz w:val="30"/>
          <w:szCs w:val="30"/>
        </w:rPr>
        <w:t>分，本项目实际得分为</w:t>
      </w:r>
      <w:r>
        <w:rPr>
          <w:rFonts w:hint="eastAsia" w:ascii="仿宋" w:hAnsi="仿宋" w:eastAsia="仿宋"/>
          <w:color w:val="000000"/>
          <w:sz w:val="30"/>
          <w:szCs w:val="30"/>
        </w:rPr>
        <w:t>5</w:t>
      </w:r>
      <w:r>
        <w:rPr>
          <w:rFonts w:ascii="仿宋" w:hAnsi="仿宋" w:eastAsia="仿宋"/>
          <w:color w:val="000000"/>
          <w:sz w:val="30"/>
          <w:szCs w:val="30"/>
        </w:rPr>
        <w:t>分。各个指标的实际得分情况见</w:t>
      </w:r>
      <w:r>
        <w:rPr>
          <w:rFonts w:hint="eastAsia" w:ascii="仿宋" w:hAnsi="仿宋" w:eastAsia="仿宋"/>
          <w:color w:val="000000"/>
          <w:sz w:val="30"/>
          <w:szCs w:val="30"/>
        </w:rPr>
        <w:t>下</w:t>
      </w:r>
      <w:r>
        <w:rPr>
          <w:rFonts w:ascii="仿宋" w:hAnsi="仿宋" w:eastAsia="仿宋"/>
          <w:color w:val="000000"/>
          <w:sz w:val="30"/>
          <w:szCs w:val="30"/>
        </w:rPr>
        <w:t>表。</w:t>
      </w:r>
    </w:p>
    <w:p>
      <w:pPr>
        <w:autoSpaceDE w:val="0"/>
        <w:autoSpaceDN w:val="0"/>
        <w:adjustRightInd w:val="0"/>
        <w:jc w:val="center"/>
        <w:rPr>
          <w:rFonts w:ascii="仿宋" w:hAnsi="仿宋" w:eastAsia="仿宋" w:cs="宋体"/>
          <w:kern w:val="0"/>
          <w:sz w:val="24"/>
        </w:rPr>
      </w:pPr>
      <w:r>
        <w:rPr>
          <w:rFonts w:hint="eastAsia" w:ascii="仿宋" w:hAnsi="仿宋" w:eastAsia="仿宋" w:cs="宋体"/>
          <w:kern w:val="0"/>
          <w:sz w:val="24"/>
        </w:rPr>
        <w:t>报备类指标评分表</w:t>
      </w:r>
    </w:p>
    <w:tbl>
      <w:tblPr>
        <w:tblStyle w:val="14"/>
        <w:tblW w:w="8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749"/>
        <w:gridCol w:w="1203"/>
        <w:gridCol w:w="639"/>
        <w:gridCol w:w="3544"/>
        <w:gridCol w:w="709"/>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70" w:type="dxa"/>
            <w:vAlign w:val="center"/>
          </w:tcPr>
          <w:p>
            <w:pPr>
              <w:jc w:val="center"/>
              <w:rPr>
                <w:rFonts w:ascii="仿宋" w:hAnsi="仿宋" w:eastAsia="仿宋"/>
                <w:bCs/>
                <w:szCs w:val="21"/>
              </w:rPr>
            </w:pPr>
            <w:r>
              <w:rPr>
                <w:rFonts w:hint="eastAsia" w:ascii="仿宋" w:hAnsi="仿宋" w:eastAsia="仿宋"/>
                <w:bCs/>
                <w:szCs w:val="21"/>
              </w:rPr>
              <w:t>一级指标</w:t>
            </w:r>
          </w:p>
        </w:tc>
        <w:tc>
          <w:tcPr>
            <w:tcW w:w="749" w:type="dxa"/>
            <w:vAlign w:val="center"/>
          </w:tcPr>
          <w:p>
            <w:pPr>
              <w:jc w:val="center"/>
              <w:rPr>
                <w:rFonts w:ascii="仿宋" w:hAnsi="仿宋" w:eastAsia="仿宋"/>
                <w:bCs/>
                <w:szCs w:val="21"/>
              </w:rPr>
            </w:pPr>
            <w:r>
              <w:rPr>
                <w:rFonts w:hint="eastAsia" w:ascii="仿宋" w:hAnsi="仿宋" w:eastAsia="仿宋"/>
                <w:bCs/>
                <w:szCs w:val="21"/>
              </w:rPr>
              <w:t>分值</w:t>
            </w:r>
          </w:p>
        </w:tc>
        <w:tc>
          <w:tcPr>
            <w:tcW w:w="1203" w:type="dxa"/>
            <w:vAlign w:val="center"/>
          </w:tcPr>
          <w:p>
            <w:pPr>
              <w:jc w:val="center"/>
              <w:rPr>
                <w:rFonts w:ascii="仿宋" w:hAnsi="仿宋" w:eastAsia="仿宋"/>
                <w:bCs/>
                <w:szCs w:val="21"/>
              </w:rPr>
            </w:pPr>
            <w:r>
              <w:rPr>
                <w:rFonts w:hint="eastAsia" w:ascii="仿宋" w:hAnsi="仿宋" w:eastAsia="仿宋"/>
                <w:bCs/>
                <w:szCs w:val="21"/>
              </w:rPr>
              <w:t>二级指标</w:t>
            </w:r>
          </w:p>
        </w:tc>
        <w:tc>
          <w:tcPr>
            <w:tcW w:w="639" w:type="dxa"/>
            <w:vAlign w:val="center"/>
          </w:tcPr>
          <w:p>
            <w:pPr>
              <w:jc w:val="center"/>
              <w:rPr>
                <w:rFonts w:ascii="仿宋" w:hAnsi="仿宋" w:eastAsia="仿宋"/>
                <w:bCs/>
                <w:szCs w:val="21"/>
              </w:rPr>
            </w:pPr>
            <w:r>
              <w:rPr>
                <w:rFonts w:hint="eastAsia" w:ascii="仿宋" w:hAnsi="仿宋" w:eastAsia="仿宋"/>
                <w:bCs/>
                <w:szCs w:val="21"/>
              </w:rPr>
              <w:t>分值</w:t>
            </w:r>
          </w:p>
        </w:tc>
        <w:tc>
          <w:tcPr>
            <w:tcW w:w="3544" w:type="dxa"/>
            <w:vAlign w:val="center"/>
          </w:tcPr>
          <w:p>
            <w:pPr>
              <w:jc w:val="center"/>
              <w:rPr>
                <w:rFonts w:ascii="仿宋" w:hAnsi="仿宋" w:eastAsia="仿宋"/>
                <w:bCs/>
                <w:szCs w:val="21"/>
              </w:rPr>
            </w:pPr>
            <w:r>
              <w:rPr>
                <w:rFonts w:hint="eastAsia" w:ascii="仿宋" w:hAnsi="仿宋" w:eastAsia="仿宋"/>
                <w:bCs/>
                <w:szCs w:val="21"/>
              </w:rPr>
              <w:t>三级指标</w:t>
            </w:r>
          </w:p>
        </w:tc>
        <w:tc>
          <w:tcPr>
            <w:tcW w:w="709" w:type="dxa"/>
            <w:vAlign w:val="center"/>
          </w:tcPr>
          <w:p>
            <w:pPr>
              <w:jc w:val="center"/>
              <w:rPr>
                <w:rFonts w:ascii="仿宋" w:hAnsi="仿宋" w:eastAsia="仿宋"/>
                <w:bCs/>
                <w:szCs w:val="21"/>
              </w:rPr>
            </w:pPr>
            <w:r>
              <w:rPr>
                <w:rFonts w:hint="eastAsia" w:ascii="仿宋" w:hAnsi="仿宋" w:eastAsia="仿宋"/>
                <w:bCs/>
                <w:szCs w:val="21"/>
              </w:rPr>
              <w:t>分值</w:t>
            </w:r>
          </w:p>
        </w:tc>
        <w:tc>
          <w:tcPr>
            <w:tcW w:w="663" w:type="dxa"/>
            <w:vAlign w:val="center"/>
          </w:tcPr>
          <w:p>
            <w:pPr>
              <w:jc w:val="center"/>
              <w:rPr>
                <w:rFonts w:ascii="仿宋" w:hAnsi="仿宋" w:eastAsia="仿宋"/>
                <w:bCs/>
                <w:szCs w:val="21"/>
              </w:rPr>
            </w:pPr>
            <w:r>
              <w:rPr>
                <w:rFonts w:hint="eastAsia" w:ascii="仿宋" w:hAnsi="仿宋" w:eastAsia="仿宋"/>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restart"/>
            <w:vAlign w:val="center"/>
          </w:tcPr>
          <w:p>
            <w:pPr>
              <w:jc w:val="center"/>
              <w:rPr>
                <w:rFonts w:ascii="仿宋" w:hAnsi="仿宋" w:eastAsia="仿宋" w:cs="??_GB2312"/>
                <w:kern w:val="0"/>
                <w:szCs w:val="21"/>
              </w:rPr>
            </w:pPr>
            <w:r>
              <w:rPr>
                <w:rFonts w:hint="eastAsia" w:ascii="仿宋" w:hAnsi="仿宋" w:eastAsia="仿宋" w:cs="??_GB2312"/>
                <w:kern w:val="0"/>
                <w:szCs w:val="21"/>
              </w:rPr>
              <w:t>报备</w:t>
            </w:r>
          </w:p>
        </w:tc>
        <w:tc>
          <w:tcPr>
            <w:tcW w:w="749" w:type="dxa"/>
            <w:vMerge w:val="restart"/>
            <w:vAlign w:val="center"/>
          </w:tcPr>
          <w:p>
            <w:pPr>
              <w:jc w:val="center"/>
              <w:rPr>
                <w:rFonts w:ascii="仿宋" w:hAnsi="仿宋" w:eastAsia="仿宋" w:cs="??_GB2312"/>
                <w:kern w:val="0"/>
                <w:szCs w:val="21"/>
              </w:rPr>
            </w:pPr>
            <w:r>
              <w:rPr>
                <w:rFonts w:hint="eastAsia" w:ascii="仿宋" w:hAnsi="仿宋" w:eastAsia="仿宋" w:cs="??_GB2312"/>
                <w:kern w:val="0"/>
                <w:szCs w:val="21"/>
              </w:rPr>
              <w:t>8</w:t>
            </w:r>
          </w:p>
        </w:tc>
        <w:tc>
          <w:tcPr>
            <w:tcW w:w="1203" w:type="dxa"/>
            <w:vMerge w:val="restart"/>
            <w:vAlign w:val="center"/>
          </w:tcPr>
          <w:p>
            <w:pPr>
              <w:jc w:val="center"/>
              <w:rPr>
                <w:rFonts w:ascii="仿宋" w:hAnsi="仿宋" w:eastAsia="仿宋" w:cs="??_GB2312"/>
                <w:kern w:val="0"/>
                <w:szCs w:val="21"/>
              </w:rPr>
            </w:pPr>
            <w:r>
              <w:rPr>
                <w:rFonts w:hint="eastAsia" w:ascii="仿宋" w:hAnsi="仿宋" w:eastAsia="仿宋" w:cs="??_GB2312"/>
                <w:kern w:val="0"/>
                <w:szCs w:val="21"/>
              </w:rPr>
              <w:t>目标申报</w:t>
            </w:r>
          </w:p>
        </w:tc>
        <w:tc>
          <w:tcPr>
            <w:tcW w:w="639" w:type="dxa"/>
            <w:vMerge w:val="restart"/>
            <w:vAlign w:val="center"/>
          </w:tcPr>
          <w:p>
            <w:pPr>
              <w:jc w:val="center"/>
              <w:rPr>
                <w:rFonts w:ascii="仿宋" w:hAnsi="仿宋" w:eastAsia="仿宋" w:cs="??_GB2312"/>
                <w:kern w:val="0"/>
                <w:szCs w:val="21"/>
              </w:rPr>
            </w:pPr>
            <w:r>
              <w:rPr>
                <w:rFonts w:hint="eastAsia" w:ascii="仿宋" w:hAnsi="仿宋" w:eastAsia="仿宋" w:cs="??_GB2312"/>
                <w:kern w:val="0"/>
                <w:szCs w:val="21"/>
              </w:rPr>
              <w:t>4</w:t>
            </w:r>
          </w:p>
        </w:tc>
        <w:tc>
          <w:tcPr>
            <w:tcW w:w="3544" w:type="dxa"/>
            <w:vAlign w:val="center"/>
          </w:tcPr>
          <w:p>
            <w:pPr>
              <w:rPr>
                <w:rFonts w:ascii="仿宋" w:hAnsi="仿宋" w:eastAsia="仿宋" w:cs="宋体"/>
                <w:szCs w:val="21"/>
              </w:rPr>
            </w:pPr>
            <w:r>
              <w:rPr>
                <w:rFonts w:hint="eastAsia" w:ascii="仿宋" w:hAnsi="仿宋" w:eastAsia="仿宋"/>
                <w:szCs w:val="21"/>
              </w:rPr>
              <w:t>申报的及时性</w:t>
            </w:r>
          </w:p>
        </w:tc>
        <w:tc>
          <w:tcPr>
            <w:tcW w:w="709" w:type="dxa"/>
            <w:vAlign w:val="center"/>
          </w:tcPr>
          <w:p>
            <w:pPr>
              <w:jc w:val="center"/>
              <w:rPr>
                <w:rFonts w:ascii="仿宋" w:hAnsi="仿宋" w:eastAsia="仿宋" w:cs="??_GB2312"/>
                <w:kern w:val="0"/>
                <w:szCs w:val="21"/>
              </w:rPr>
            </w:pPr>
            <w:r>
              <w:rPr>
                <w:rFonts w:hint="eastAsia" w:ascii="仿宋" w:hAnsi="仿宋" w:eastAsia="仿宋" w:cs="??_GB2312"/>
                <w:kern w:val="0"/>
                <w:szCs w:val="21"/>
              </w:rPr>
              <w:t>2</w:t>
            </w:r>
          </w:p>
        </w:tc>
        <w:tc>
          <w:tcPr>
            <w:tcW w:w="663" w:type="dxa"/>
          </w:tcPr>
          <w:p>
            <w:pPr>
              <w:jc w:val="center"/>
              <w:rPr>
                <w:rFonts w:ascii="仿宋" w:hAnsi="仿宋" w:eastAsia="仿宋" w:cs="??_GB2312"/>
                <w:kern w:val="0"/>
                <w:szCs w:val="21"/>
              </w:rPr>
            </w:pPr>
            <w:r>
              <w:rPr>
                <w:rFonts w:hint="eastAsia" w:ascii="仿宋" w:hAnsi="仿宋" w:eastAsia="仿宋" w:cs="??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jc w:val="center"/>
              <w:rPr>
                <w:rFonts w:ascii="仿宋" w:hAnsi="仿宋" w:eastAsia="仿宋" w:cs="??_GB2312"/>
                <w:kern w:val="0"/>
                <w:szCs w:val="21"/>
              </w:rPr>
            </w:pPr>
          </w:p>
        </w:tc>
        <w:tc>
          <w:tcPr>
            <w:tcW w:w="749" w:type="dxa"/>
            <w:vMerge w:val="continue"/>
            <w:vAlign w:val="center"/>
          </w:tcPr>
          <w:p>
            <w:pPr>
              <w:jc w:val="center"/>
              <w:rPr>
                <w:rFonts w:ascii="仿宋" w:hAnsi="仿宋" w:eastAsia="仿宋" w:cs="??_GB2312"/>
                <w:kern w:val="0"/>
                <w:szCs w:val="21"/>
              </w:rPr>
            </w:pPr>
          </w:p>
        </w:tc>
        <w:tc>
          <w:tcPr>
            <w:tcW w:w="1203" w:type="dxa"/>
            <w:vMerge w:val="continue"/>
            <w:vAlign w:val="center"/>
          </w:tcPr>
          <w:p>
            <w:pPr>
              <w:jc w:val="center"/>
              <w:rPr>
                <w:rFonts w:ascii="仿宋" w:hAnsi="仿宋" w:eastAsia="仿宋" w:cs="??_GB2312"/>
                <w:kern w:val="0"/>
                <w:szCs w:val="21"/>
              </w:rPr>
            </w:pPr>
          </w:p>
        </w:tc>
        <w:tc>
          <w:tcPr>
            <w:tcW w:w="639" w:type="dxa"/>
            <w:vMerge w:val="continue"/>
            <w:vAlign w:val="center"/>
          </w:tcPr>
          <w:p>
            <w:pPr>
              <w:jc w:val="center"/>
              <w:rPr>
                <w:rFonts w:ascii="仿宋" w:hAnsi="仿宋" w:eastAsia="仿宋" w:cs="??_GB2312"/>
                <w:kern w:val="0"/>
                <w:szCs w:val="21"/>
              </w:rPr>
            </w:pPr>
          </w:p>
        </w:tc>
        <w:tc>
          <w:tcPr>
            <w:tcW w:w="3544" w:type="dxa"/>
            <w:vAlign w:val="center"/>
          </w:tcPr>
          <w:p>
            <w:pPr>
              <w:rPr>
                <w:rFonts w:ascii="仿宋" w:hAnsi="仿宋" w:eastAsia="仿宋" w:cs="宋体"/>
                <w:szCs w:val="21"/>
              </w:rPr>
            </w:pPr>
            <w:r>
              <w:rPr>
                <w:rFonts w:hint="eastAsia" w:ascii="仿宋" w:hAnsi="仿宋" w:eastAsia="仿宋"/>
                <w:szCs w:val="21"/>
              </w:rPr>
              <w:t>申报的全面性</w:t>
            </w:r>
          </w:p>
        </w:tc>
        <w:tc>
          <w:tcPr>
            <w:tcW w:w="709" w:type="dxa"/>
            <w:vAlign w:val="center"/>
          </w:tcPr>
          <w:p>
            <w:pPr>
              <w:jc w:val="center"/>
              <w:rPr>
                <w:rFonts w:ascii="仿宋" w:hAnsi="仿宋" w:eastAsia="仿宋" w:cs="??_GB2312"/>
                <w:kern w:val="0"/>
                <w:szCs w:val="21"/>
              </w:rPr>
            </w:pPr>
            <w:r>
              <w:rPr>
                <w:rFonts w:hint="eastAsia" w:ascii="仿宋" w:hAnsi="仿宋" w:eastAsia="仿宋" w:cs="??_GB2312"/>
                <w:kern w:val="0"/>
                <w:szCs w:val="21"/>
              </w:rPr>
              <w:t>2</w:t>
            </w:r>
          </w:p>
        </w:tc>
        <w:tc>
          <w:tcPr>
            <w:tcW w:w="663" w:type="dxa"/>
          </w:tcPr>
          <w:p>
            <w:pPr>
              <w:jc w:val="center"/>
              <w:rPr>
                <w:rFonts w:ascii="仿宋" w:hAnsi="仿宋" w:eastAsia="仿宋" w:cs="??_GB2312"/>
                <w:kern w:val="0"/>
                <w:szCs w:val="21"/>
              </w:rPr>
            </w:pPr>
            <w:r>
              <w:rPr>
                <w:rFonts w:hint="eastAsia" w:ascii="仿宋" w:hAnsi="仿宋" w:eastAsia="仿宋" w:cs="??_GB2312"/>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jc w:val="center"/>
              <w:rPr>
                <w:rFonts w:ascii="仿宋" w:hAnsi="仿宋" w:eastAsia="仿宋" w:cs="??_GB2312"/>
                <w:kern w:val="0"/>
                <w:szCs w:val="21"/>
              </w:rPr>
            </w:pPr>
          </w:p>
        </w:tc>
        <w:tc>
          <w:tcPr>
            <w:tcW w:w="749" w:type="dxa"/>
            <w:vMerge w:val="continue"/>
            <w:vAlign w:val="center"/>
          </w:tcPr>
          <w:p>
            <w:pPr>
              <w:jc w:val="center"/>
              <w:rPr>
                <w:rFonts w:ascii="仿宋" w:hAnsi="仿宋" w:eastAsia="仿宋" w:cs="??_GB2312"/>
                <w:kern w:val="0"/>
                <w:szCs w:val="21"/>
              </w:rPr>
            </w:pPr>
          </w:p>
        </w:tc>
        <w:tc>
          <w:tcPr>
            <w:tcW w:w="1203" w:type="dxa"/>
            <w:vMerge w:val="restart"/>
            <w:vAlign w:val="center"/>
          </w:tcPr>
          <w:p>
            <w:pPr>
              <w:jc w:val="center"/>
              <w:rPr>
                <w:rFonts w:ascii="仿宋" w:hAnsi="仿宋" w:eastAsia="仿宋" w:cs="??_GB2312"/>
                <w:kern w:val="0"/>
                <w:szCs w:val="21"/>
              </w:rPr>
            </w:pPr>
            <w:r>
              <w:rPr>
                <w:rFonts w:hint="eastAsia" w:ascii="仿宋" w:hAnsi="仿宋" w:eastAsia="仿宋" w:cs="??_GB2312"/>
                <w:kern w:val="0"/>
                <w:szCs w:val="21"/>
              </w:rPr>
              <w:t>项目监控</w:t>
            </w:r>
          </w:p>
        </w:tc>
        <w:tc>
          <w:tcPr>
            <w:tcW w:w="639" w:type="dxa"/>
            <w:vMerge w:val="restart"/>
            <w:vAlign w:val="center"/>
          </w:tcPr>
          <w:p>
            <w:pPr>
              <w:jc w:val="center"/>
              <w:rPr>
                <w:rFonts w:ascii="仿宋" w:hAnsi="仿宋" w:eastAsia="仿宋" w:cs="??_GB2312"/>
                <w:kern w:val="0"/>
                <w:szCs w:val="21"/>
              </w:rPr>
            </w:pPr>
            <w:r>
              <w:rPr>
                <w:rFonts w:hint="eastAsia" w:ascii="仿宋" w:hAnsi="仿宋" w:eastAsia="仿宋" w:cs="??_GB2312"/>
                <w:kern w:val="0"/>
                <w:szCs w:val="21"/>
              </w:rPr>
              <w:t>2</w:t>
            </w:r>
          </w:p>
        </w:tc>
        <w:tc>
          <w:tcPr>
            <w:tcW w:w="3544" w:type="dxa"/>
            <w:vAlign w:val="center"/>
          </w:tcPr>
          <w:p>
            <w:pPr>
              <w:rPr>
                <w:rFonts w:ascii="仿宋" w:hAnsi="仿宋" w:eastAsia="仿宋"/>
                <w:szCs w:val="21"/>
              </w:rPr>
            </w:pPr>
            <w:r>
              <w:rPr>
                <w:rFonts w:hint="eastAsia" w:ascii="仿宋" w:hAnsi="仿宋" w:eastAsia="仿宋"/>
                <w:szCs w:val="21"/>
              </w:rPr>
              <w:t>制度健全性</w:t>
            </w:r>
          </w:p>
        </w:tc>
        <w:tc>
          <w:tcPr>
            <w:tcW w:w="709" w:type="dxa"/>
            <w:vAlign w:val="center"/>
          </w:tcPr>
          <w:p>
            <w:pPr>
              <w:jc w:val="center"/>
              <w:rPr>
                <w:rFonts w:ascii="仿宋" w:hAnsi="仿宋" w:eastAsia="仿宋" w:cs="??_GB2312"/>
                <w:kern w:val="0"/>
                <w:szCs w:val="21"/>
              </w:rPr>
            </w:pPr>
            <w:r>
              <w:rPr>
                <w:rFonts w:hint="eastAsia" w:ascii="仿宋" w:hAnsi="仿宋" w:eastAsia="仿宋" w:cs="??_GB2312"/>
                <w:kern w:val="0"/>
                <w:szCs w:val="21"/>
              </w:rPr>
              <w:t>1</w:t>
            </w:r>
          </w:p>
        </w:tc>
        <w:tc>
          <w:tcPr>
            <w:tcW w:w="663" w:type="dxa"/>
          </w:tcPr>
          <w:p>
            <w:pPr>
              <w:jc w:val="center"/>
              <w:rPr>
                <w:rFonts w:ascii="仿宋" w:hAnsi="仿宋" w:eastAsia="仿宋" w:cs="??_GB2312"/>
                <w:kern w:val="0"/>
                <w:szCs w:val="21"/>
              </w:rPr>
            </w:pPr>
            <w:r>
              <w:rPr>
                <w:rFonts w:hint="eastAsia" w:ascii="仿宋" w:hAnsi="仿宋" w:eastAsia="仿宋" w:cs="??_GB2312"/>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jc w:val="center"/>
              <w:rPr>
                <w:rFonts w:ascii="仿宋" w:hAnsi="仿宋" w:eastAsia="仿宋" w:cs="??_GB2312"/>
                <w:kern w:val="0"/>
                <w:szCs w:val="21"/>
              </w:rPr>
            </w:pPr>
          </w:p>
        </w:tc>
        <w:tc>
          <w:tcPr>
            <w:tcW w:w="749" w:type="dxa"/>
            <w:vMerge w:val="continue"/>
            <w:vAlign w:val="center"/>
          </w:tcPr>
          <w:p>
            <w:pPr>
              <w:jc w:val="center"/>
              <w:rPr>
                <w:rFonts w:ascii="仿宋" w:hAnsi="仿宋" w:eastAsia="仿宋" w:cs="??_GB2312"/>
                <w:kern w:val="0"/>
                <w:szCs w:val="21"/>
              </w:rPr>
            </w:pPr>
          </w:p>
        </w:tc>
        <w:tc>
          <w:tcPr>
            <w:tcW w:w="1203" w:type="dxa"/>
            <w:vMerge w:val="continue"/>
            <w:vAlign w:val="center"/>
          </w:tcPr>
          <w:p>
            <w:pPr>
              <w:jc w:val="center"/>
              <w:rPr>
                <w:rFonts w:ascii="仿宋" w:hAnsi="仿宋" w:eastAsia="仿宋" w:cs="??_GB2312"/>
                <w:kern w:val="0"/>
                <w:szCs w:val="21"/>
              </w:rPr>
            </w:pPr>
          </w:p>
        </w:tc>
        <w:tc>
          <w:tcPr>
            <w:tcW w:w="639" w:type="dxa"/>
            <w:vMerge w:val="continue"/>
            <w:vAlign w:val="center"/>
          </w:tcPr>
          <w:p>
            <w:pPr>
              <w:jc w:val="center"/>
              <w:rPr>
                <w:rFonts w:ascii="仿宋" w:hAnsi="仿宋" w:eastAsia="仿宋" w:cs="??_GB2312"/>
                <w:kern w:val="0"/>
                <w:szCs w:val="21"/>
              </w:rPr>
            </w:pPr>
          </w:p>
        </w:tc>
        <w:tc>
          <w:tcPr>
            <w:tcW w:w="3544" w:type="dxa"/>
            <w:vAlign w:val="center"/>
          </w:tcPr>
          <w:p>
            <w:pPr>
              <w:rPr>
                <w:rFonts w:ascii="仿宋" w:hAnsi="仿宋" w:eastAsia="仿宋"/>
                <w:szCs w:val="21"/>
              </w:rPr>
            </w:pPr>
            <w:r>
              <w:rPr>
                <w:rFonts w:hint="eastAsia" w:ascii="仿宋" w:hAnsi="仿宋" w:eastAsia="仿宋"/>
                <w:szCs w:val="21"/>
              </w:rPr>
              <w:t>制度可控性</w:t>
            </w:r>
          </w:p>
        </w:tc>
        <w:tc>
          <w:tcPr>
            <w:tcW w:w="709" w:type="dxa"/>
            <w:vAlign w:val="center"/>
          </w:tcPr>
          <w:p>
            <w:pPr>
              <w:jc w:val="center"/>
              <w:rPr>
                <w:rFonts w:ascii="仿宋" w:hAnsi="仿宋" w:eastAsia="仿宋" w:cs="??_GB2312"/>
                <w:kern w:val="0"/>
                <w:szCs w:val="21"/>
              </w:rPr>
            </w:pPr>
            <w:r>
              <w:rPr>
                <w:rFonts w:hint="eastAsia" w:ascii="仿宋" w:hAnsi="仿宋" w:eastAsia="仿宋" w:cs="??_GB2312"/>
                <w:kern w:val="0"/>
                <w:szCs w:val="21"/>
              </w:rPr>
              <w:t>1</w:t>
            </w:r>
          </w:p>
        </w:tc>
        <w:tc>
          <w:tcPr>
            <w:tcW w:w="663" w:type="dxa"/>
          </w:tcPr>
          <w:p>
            <w:pPr>
              <w:jc w:val="center"/>
              <w:rPr>
                <w:rFonts w:ascii="仿宋" w:hAnsi="仿宋" w:eastAsia="仿宋" w:cs="??_GB2312"/>
                <w:kern w:val="0"/>
                <w:szCs w:val="21"/>
              </w:rPr>
            </w:pPr>
            <w:r>
              <w:rPr>
                <w:rFonts w:hint="eastAsia" w:ascii="仿宋" w:hAnsi="仿宋" w:eastAsia="仿宋" w:cs="??_GB2312"/>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vAlign w:val="center"/>
          </w:tcPr>
          <w:p>
            <w:pPr>
              <w:jc w:val="center"/>
              <w:rPr>
                <w:rFonts w:ascii="仿宋" w:hAnsi="仿宋" w:eastAsia="仿宋" w:cs="??_GB2312"/>
                <w:kern w:val="0"/>
                <w:szCs w:val="21"/>
              </w:rPr>
            </w:pPr>
          </w:p>
        </w:tc>
        <w:tc>
          <w:tcPr>
            <w:tcW w:w="749" w:type="dxa"/>
            <w:vMerge w:val="continue"/>
            <w:vAlign w:val="center"/>
          </w:tcPr>
          <w:p>
            <w:pPr>
              <w:jc w:val="center"/>
              <w:rPr>
                <w:rFonts w:ascii="仿宋" w:hAnsi="仿宋" w:eastAsia="仿宋" w:cs="??_GB2312"/>
                <w:kern w:val="0"/>
                <w:szCs w:val="21"/>
              </w:rPr>
            </w:pPr>
          </w:p>
        </w:tc>
        <w:tc>
          <w:tcPr>
            <w:tcW w:w="1203" w:type="dxa"/>
            <w:vMerge w:val="restart"/>
            <w:vAlign w:val="center"/>
          </w:tcPr>
          <w:p>
            <w:pPr>
              <w:jc w:val="center"/>
              <w:rPr>
                <w:rFonts w:ascii="仿宋" w:hAnsi="仿宋" w:eastAsia="仿宋" w:cs="??_GB2312"/>
                <w:kern w:val="0"/>
                <w:szCs w:val="21"/>
              </w:rPr>
            </w:pPr>
            <w:r>
              <w:rPr>
                <w:rFonts w:hint="eastAsia" w:ascii="仿宋" w:hAnsi="仿宋" w:eastAsia="仿宋" w:cs="??_GB2312"/>
                <w:kern w:val="0"/>
                <w:szCs w:val="21"/>
              </w:rPr>
              <w:t>项目自评</w:t>
            </w:r>
          </w:p>
        </w:tc>
        <w:tc>
          <w:tcPr>
            <w:tcW w:w="639" w:type="dxa"/>
            <w:vMerge w:val="restart"/>
            <w:vAlign w:val="center"/>
          </w:tcPr>
          <w:p>
            <w:pPr>
              <w:jc w:val="center"/>
              <w:rPr>
                <w:rFonts w:ascii="仿宋" w:hAnsi="仿宋" w:eastAsia="仿宋" w:cs="??_GB2312"/>
                <w:kern w:val="0"/>
                <w:szCs w:val="21"/>
              </w:rPr>
            </w:pPr>
            <w:r>
              <w:rPr>
                <w:rFonts w:hint="eastAsia" w:ascii="仿宋" w:hAnsi="仿宋" w:eastAsia="仿宋" w:cs="??_GB2312"/>
                <w:kern w:val="0"/>
                <w:szCs w:val="21"/>
              </w:rPr>
              <w:t>2</w:t>
            </w:r>
          </w:p>
        </w:tc>
        <w:tc>
          <w:tcPr>
            <w:tcW w:w="3544" w:type="dxa"/>
            <w:vAlign w:val="center"/>
          </w:tcPr>
          <w:p>
            <w:pPr>
              <w:rPr>
                <w:rFonts w:ascii="仿宋" w:hAnsi="仿宋" w:eastAsia="仿宋" w:cs="宋体"/>
                <w:szCs w:val="21"/>
              </w:rPr>
            </w:pPr>
            <w:r>
              <w:rPr>
                <w:rFonts w:hint="eastAsia" w:ascii="仿宋" w:hAnsi="仿宋" w:eastAsia="仿宋"/>
                <w:szCs w:val="21"/>
              </w:rPr>
              <w:t>是否有自评报告</w:t>
            </w:r>
          </w:p>
        </w:tc>
        <w:tc>
          <w:tcPr>
            <w:tcW w:w="709" w:type="dxa"/>
            <w:vAlign w:val="center"/>
          </w:tcPr>
          <w:p>
            <w:pPr>
              <w:jc w:val="center"/>
              <w:rPr>
                <w:rFonts w:ascii="仿宋" w:hAnsi="仿宋" w:eastAsia="仿宋" w:cs="??_GB2312"/>
                <w:kern w:val="0"/>
                <w:szCs w:val="21"/>
              </w:rPr>
            </w:pPr>
            <w:r>
              <w:rPr>
                <w:rFonts w:hint="eastAsia" w:ascii="仿宋" w:hAnsi="仿宋" w:eastAsia="仿宋" w:cs="??_GB2312"/>
                <w:kern w:val="0"/>
                <w:szCs w:val="21"/>
              </w:rPr>
              <w:t>1</w:t>
            </w:r>
          </w:p>
        </w:tc>
        <w:tc>
          <w:tcPr>
            <w:tcW w:w="663" w:type="dxa"/>
          </w:tcPr>
          <w:p>
            <w:pPr>
              <w:jc w:val="center"/>
              <w:rPr>
                <w:rFonts w:ascii="仿宋" w:hAnsi="仿宋" w:eastAsia="仿宋" w:cs="??_GB2312"/>
                <w:kern w:val="0"/>
                <w:szCs w:val="21"/>
              </w:rPr>
            </w:pPr>
            <w:r>
              <w:rPr>
                <w:rFonts w:hint="eastAsia" w:ascii="仿宋" w:hAnsi="仿宋" w:eastAsia="仿宋" w:cs="??_GB2312"/>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vMerge w:val="continue"/>
          </w:tcPr>
          <w:p>
            <w:pPr>
              <w:rPr>
                <w:rFonts w:ascii="仿宋" w:hAnsi="仿宋" w:eastAsia="仿宋" w:cs="??_GB2312"/>
                <w:kern w:val="0"/>
                <w:szCs w:val="21"/>
              </w:rPr>
            </w:pPr>
          </w:p>
        </w:tc>
        <w:tc>
          <w:tcPr>
            <w:tcW w:w="749" w:type="dxa"/>
            <w:vMerge w:val="continue"/>
          </w:tcPr>
          <w:p>
            <w:pPr>
              <w:rPr>
                <w:rFonts w:ascii="仿宋" w:hAnsi="仿宋" w:eastAsia="仿宋" w:cs="??_GB2312"/>
                <w:kern w:val="0"/>
                <w:szCs w:val="21"/>
              </w:rPr>
            </w:pPr>
          </w:p>
        </w:tc>
        <w:tc>
          <w:tcPr>
            <w:tcW w:w="1203" w:type="dxa"/>
            <w:vMerge w:val="continue"/>
          </w:tcPr>
          <w:p>
            <w:pPr>
              <w:rPr>
                <w:rFonts w:ascii="仿宋" w:hAnsi="仿宋" w:eastAsia="仿宋" w:cs="??_GB2312"/>
                <w:kern w:val="0"/>
                <w:szCs w:val="21"/>
              </w:rPr>
            </w:pPr>
          </w:p>
        </w:tc>
        <w:tc>
          <w:tcPr>
            <w:tcW w:w="639" w:type="dxa"/>
            <w:vMerge w:val="continue"/>
          </w:tcPr>
          <w:p>
            <w:pPr>
              <w:rPr>
                <w:rFonts w:ascii="仿宋" w:hAnsi="仿宋" w:eastAsia="仿宋" w:cs="??_GB2312"/>
                <w:kern w:val="0"/>
                <w:szCs w:val="21"/>
              </w:rPr>
            </w:pPr>
          </w:p>
        </w:tc>
        <w:tc>
          <w:tcPr>
            <w:tcW w:w="3544" w:type="dxa"/>
            <w:vAlign w:val="center"/>
          </w:tcPr>
          <w:p>
            <w:pPr>
              <w:rPr>
                <w:rFonts w:ascii="仿宋" w:hAnsi="仿宋" w:eastAsia="仿宋" w:cs="宋体"/>
                <w:szCs w:val="21"/>
              </w:rPr>
            </w:pPr>
            <w:r>
              <w:rPr>
                <w:rFonts w:hint="eastAsia" w:ascii="仿宋" w:hAnsi="仿宋" w:eastAsia="仿宋"/>
                <w:szCs w:val="21"/>
              </w:rPr>
              <w:t>自评报告的客观性、完整性、真实性</w:t>
            </w:r>
          </w:p>
        </w:tc>
        <w:tc>
          <w:tcPr>
            <w:tcW w:w="709" w:type="dxa"/>
            <w:vAlign w:val="center"/>
          </w:tcPr>
          <w:p>
            <w:pPr>
              <w:jc w:val="center"/>
              <w:rPr>
                <w:rFonts w:ascii="仿宋" w:hAnsi="仿宋" w:eastAsia="仿宋" w:cs="??_GB2312"/>
                <w:kern w:val="0"/>
                <w:szCs w:val="21"/>
              </w:rPr>
            </w:pPr>
            <w:r>
              <w:rPr>
                <w:rFonts w:hint="eastAsia" w:ascii="仿宋" w:hAnsi="仿宋" w:eastAsia="仿宋" w:cs="??_GB2312"/>
                <w:kern w:val="0"/>
                <w:szCs w:val="21"/>
              </w:rPr>
              <w:t>1</w:t>
            </w:r>
          </w:p>
        </w:tc>
        <w:tc>
          <w:tcPr>
            <w:tcW w:w="663" w:type="dxa"/>
          </w:tcPr>
          <w:p>
            <w:pPr>
              <w:jc w:val="center"/>
              <w:rPr>
                <w:rFonts w:ascii="仿宋" w:hAnsi="仿宋" w:eastAsia="仿宋" w:cs="??_GB2312"/>
                <w:kern w:val="0"/>
                <w:szCs w:val="21"/>
              </w:rPr>
            </w:pPr>
            <w:r>
              <w:rPr>
                <w:rFonts w:hint="eastAsia" w:ascii="仿宋" w:hAnsi="仿宋" w:eastAsia="仿宋" w:cs="??_GB2312"/>
                <w:kern w:val="0"/>
                <w:szCs w:val="21"/>
              </w:rPr>
              <w:t>0</w:t>
            </w:r>
          </w:p>
        </w:tc>
      </w:tr>
    </w:tbl>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s="??_GB2312"/>
          <w:kern w:val="0"/>
          <w:sz w:val="30"/>
          <w:szCs w:val="30"/>
        </w:rPr>
        <w:t>目标申报</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项目单位在申请资金时一并提交绩效目标申报资料，申报的及时性指标得2分。</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申报资料主要包括绩效目标申报表、中标通知书、施工合同、验收报告等，申报资料齐全，该指标得2分。</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满分</w:t>
      </w:r>
      <w:r>
        <w:rPr>
          <w:rFonts w:hint="eastAsia" w:ascii="仿宋" w:hAnsi="仿宋" w:eastAsia="仿宋"/>
          <w:color w:val="000000"/>
          <w:sz w:val="30"/>
          <w:szCs w:val="30"/>
        </w:rPr>
        <w:t>4</w:t>
      </w:r>
      <w:r>
        <w:rPr>
          <w:rFonts w:ascii="仿宋" w:hAnsi="仿宋" w:eastAsia="仿宋"/>
          <w:color w:val="000000"/>
          <w:sz w:val="30"/>
          <w:szCs w:val="30"/>
        </w:rPr>
        <w:t>分，得分</w:t>
      </w:r>
      <w:r>
        <w:rPr>
          <w:rFonts w:hint="eastAsia" w:ascii="仿宋" w:hAnsi="仿宋" w:eastAsia="仿宋"/>
          <w:color w:val="000000"/>
          <w:sz w:val="30"/>
          <w:szCs w:val="30"/>
        </w:rPr>
        <w:t>4</w:t>
      </w:r>
      <w:r>
        <w:rPr>
          <w:rFonts w:ascii="仿宋" w:hAnsi="仿宋" w:eastAsia="仿宋"/>
          <w:color w:val="000000"/>
          <w:sz w:val="30"/>
          <w:szCs w:val="30"/>
        </w:rPr>
        <w:t>分。</w:t>
      </w:r>
    </w:p>
    <w:p>
      <w:pPr>
        <w:tabs>
          <w:tab w:val="left" w:pos="1182"/>
        </w:tabs>
        <w:spacing w:line="600" w:lineRule="exact"/>
        <w:ind w:firstLine="600" w:firstLineChars="200"/>
        <w:rPr>
          <w:rFonts w:ascii="仿宋" w:hAnsi="仿宋" w:eastAsia="仿宋" w:cs="??_GB2312"/>
          <w:kern w:val="0"/>
          <w:sz w:val="30"/>
          <w:szCs w:val="30"/>
        </w:rPr>
      </w:pPr>
      <w:r>
        <w:rPr>
          <w:rFonts w:ascii="仿宋" w:hAnsi="仿宋" w:eastAsia="仿宋" w:cs="??_GB2312"/>
          <w:kern w:val="0"/>
          <w:sz w:val="30"/>
          <w:szCs w:val="30"/>
        </w:rPr>
        <w:t>（2</w:t>
      </w:r>
      <w:r>
        <w:rPr>
          <w:rFonts w:hint="eastAsia" w:ascii="仿宋" w:hAnsi="仿宋" w:eastAsia="仿宋" w:cs="??_GB2312"/>
          <w:kern w:val="0"/>
          <w:sz w:val="30"/>
          <w:szCs w:val="30"/>
        </w:rPr>
        <w:t>）项目监控</w:t>
      </w:r>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该项目未制定相应的监控制度。</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满分</w:t>
      </w:r>
      <w:r>
        <w:rPr>
          <w:rFonts w:hint="eastAsia" w:ascii="仿宋" w:hAnsi="仿宋" w:eastAsia="仿宋"/>
          <w:color w:val="000000"/>
          <w:sz w:val="30"/>
          <w:szCs w:val="30"/>
        </w:rPr>
        <w:t>2</w:t>
      </w:r>
      <w:r>
        <w:rPr>
          <w:rFonts w:ascii="仿宋" w:hAnsi="仿宋" w:eastAsia="仿宋"/>
          <w:color w:val="000000"/>
          <w:sz w:val="30"/>
          <w:szCs w:val="30"/>
        </w:rPr>
        <w:t>分，得分</w:t>
      </w:r>
      <w:r>
        <w:rPr>
          <w:rFonts w:hint="eastAsia" w:ascii="仿宋" w:hAnsi="仿宋" w:eastAsia="仿宋"/>
          <w:color w:val="000000"/>
          <w:sz w:val="30"/>
          <w:szCs w:val="30"/>
        </w:rPr>
        <w:t>0</w:t>
      </w:r>
      <w:r>
        <w:rPr>
          <w:rFonts w:ascii="仿宋" w:hAnsi="仿宋" w:eastAsia="仿宋"/>
          <w:color w:val="000000"/>
          <w:sz w:val="30"/>
          <w:szCs w:val="30"/>
        </w:rPr>
        <w:t>分。</w:t>
      </w:r>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（3）项目自评</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项目单位提供了自评报告，报告内容比较客观，基本反映了项目建设的全过程，但不够全面、完整，如缺少评价指标体系与自评得分等内容</w:t>
      </w:r>
      <w:r>
        <w:rPr>
          <w:rFonts w:ascii="仿宋" w:hAnsi="仿宋" w:eastAsia="仿宋"/>
          <w:color w:val="000000"/>
          <w:sz w:val="30"/>
          <w:szCs w:val="30"/>
        </w:rPr>
        <w:t>。</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满分</w:t>
      </w:r>
      <w:r>
        <w:rPr>
          <w:rFonts w:hint="eastAsia" w:ascii="仿宋" w:hAnsi="仿宋" w:eastAsia="仿宋"/>
          <w:color w:val="000000"/>
          <w:sz w:val="30"/>
          <w:szCs w:val="30"/>
        </w:rPr>
        <w:t>2</w:t>
      </w:r>
      <w:r>
        <w:rPr>
          <w:rFonts w:ascii="仿宋" w:hAnsi="仿宋" w:eastAsia="仿宋"/>
          <w:color w:val="000000"/>
          <w:sz w:val="30"/>
          <w:szCs w:val="30"/>
        </w:rPr>
        <w:t>分，得分</w:t>
      </w:r>
      <w:r>
        <w:rPr>
          <w:rFonts w:hint="eastAsia" w:ascii="仿宋" w:hAnsi="仿宋" w:eastAsia="仿宋"/>
          <w:color w:val="000000"/>
          <w:sz w:val="30"/>
          <w:szCs w:val="30"/>
        </w:rPr>
        <w:t>1</w:t>
      </w:r>
      <w:r>
        <w:rPr>
          <w:rFonts w:ascii="仿宋" w:hAnsi="仿宋" w:eastAsia="仿宋"/>
          <w:color w:val="000000"/>
          <w:sz w:val="30"/>
          <w:szCs w:val="30"/>
        </w:rPr>
        <w:t>分。</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2．决策</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决策类指标分为项目立项、绩效目标、资金投入三个二级指标，项目立项下分两个三级指标，绩效目标下分两个三级指标，资金投入下分两个三级指标。决策类指标分值共计</w:t>
      </w:r>
      <w:r>
        <w:rPr>
          <w:rFonts w:hint="eastAsia" w:ascii="仿宋" w:hAnsi="仿宋" w:eastAsia="仿宋"/>
          <w:color w:val="000000"/>
          <w:sz w:val="30"/>
          <w:szCs w:val="30"/>
        </w:rPr>
        <w:t>16分</w:t>
      </w:r>
      <w:r>
        <w:rPr>
          <w:rFonts w:ascii="仿宋" w:hAnsi="仿宋" w:eastAsia="仿宋"/>
          <w:color w:val="000000"/>
          <w:sz w:val="30"/>
          <w:szCs w:val="30"/>
        </w:rPr>
        <w:t>，本项目实际得分为1</w:t>
      </w:r>
      <w:r>
        <w:rPr>
          <w:rFonts w:hint="eastAsia" w:ascii="仿宋" w:hAnsi="仿宋" w:eastAsia="仿宋"/>
          <w:color w:val="000000"/>
          <w:sz w:val="30"/>
          <w:szCs w:val="30"/>
        </w:rPr>
        <w:t>3</w:t>
      </w:r>
      <w:r>
        <w:rPr>
          <w:rFonts w:ascii="仿宋" w:hAnsi="仿宋" w:eastAsia="仿宋"/>
          <w:color w:val="000000"/>
          <w:sz w:val="30"/>
          <w:szCs w:val="30"/>
        </w:rPr>
        <w:t>分。各个指标的实际得分情况见</w:t>
      </w:r>
      <w:r>
        <w:rPr>
          <w:rFonts w:hint="eastAsia" w:ascii="仿宋" w:hAnsi="仿宋" w:eastAsia="仿宋"/>
          <w:color w:val="000000"/>
          <w:sz w:val="30"/>
          <w:szCs w:val="30"/>
        </w:rPr>
        <w:t>下</w:t>
      </w:r>
      <w:r>
        <w:rPr>
          <w:rFonts w:ascii="仿宋" w:hAnsi="仿宋" w:eastAsia="仿宋"/>
          <w:color w:val="000000"/>
          <w:sz w:val="30"/>
          <w:szCs w:val="30"/>
        </w:rPr>
        <w:t>表。</w:t>
      </w:r>
    </w:p>
    <w:p>
      <w:pPr>
        <w:autoSpaceDE w:val="0"/>
        <w:autoSpaceDN w:val="0"/>
        <w:adjustRightInd w:val="0"/>
        <w:jc w:val="center"/>
        <w:rPr>
          <w:rFonts w:ascii="仿宋" w:hAnsi="仿宋" w:eastAsia="仿宋" w:cs="宋体"/>
          <w:kern w:val="0"/>
          <w:sz w:val="24"/>
        </w:rPr>
      </w:pPr>
      <w:r>
        <w:rPr>
          <w:rFonts w:hint="eastAsia" w:ascii="仿宋" w:hAnsi="仿宋" w:eastAsia="仿宋" w:cs="宋体"/>
          <w:kern w:val="0"/>
          <w:sz w:val="24"/>
        </w:rPr>
        <w:t>投入类指标评分表</w:t>
      </w:r>
    </w:p>
    <w:tbl>
      <w:tblPr>
        <w:tblStyle w:val="14"/>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1069"/>
        <w:gridCol w:w="1069"/>
        <w:gridCol w:w="1069"/>
        <w:gridCol w:w="1884"/>
        <w:gridCol w:w="1070"/>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070" w:type="dxa"/>
            <w:vAlign w:val="center"/>
          </w:tcPr>
          <w:p>
            <w:pPr>
              <w:jc w:val="center"/>
              <w:rPr>
                <w:rFonts w:ascii="仿宋" w:hAnsi="仿宋" w:eastAsia="仿宋"/>
                <w:bCs/>
              </w:rPr>
            </w:pPr>
            <w:r>
              <w:rPr>
                <w:rFonts w:hint="eastAsia" w:ascii="仿宋" w:hAnsi="仿宋" w:eastAsia="仿宋"/>
                <w:bCs/>
              </w:rPr>
              <w:t>一级指标</w:t>
            </w:r>
          </w:p>
        </w:tc>
        <w:tc>
          <w:tcPr>
            <w:tcW w:w="1069" w:type="dxa"/>
            <w:vAlign w:val="center"/>
          </w:tcPr>
          <w:p>
            <w:pPr>
              <w:jc w:val="center"/>
              <w:rPr>
                <w:rFonts w:ascii="仿宋" w:hAnsi="仿宋" w:eastAsia="仿宋"/>
                <w:bCs/>
              </w:rPr>
            </w:pPr>
            <w:r>
              <w:rPr>
                <w:rFonts w:hint="eastAsia" w:ascii="仿宋" w:hAnsi="仿宋" w:eastAsia="仿宋"/>
                <w:bCs/>
              </w:rPr>
              <w:t>分值</w:t>
            </w:r>
          </w:p>
        </w:tc>
        <w:tc>
          <w:tcPr>
            <w:tcW w:w="1069" w:type="dxa"/>
            <w:vAlign w:val="center"/>
          </w:tcPr>
          <w:p>
            <w:pPr>
              <w:jc w:val="center"/>
              <w:rPr>
                <w:rFonts w:ascii="仿宋" w:hAnsi="仿宋" w:eastAsia="仿宋"/>
                <w:bCs/>
              </w:rPr>
            </w:pPr>
            <w:r>
              <w:rPr>
                <w:rFonts w:hint="eastAsia" w:ascii="仿宋" w:hAnsi="仿宋" w:eastAsia="仿宋"/>
                <w:bCs/>
              </w:rPr>
              <w:t>二级指标</w:t>
            </w:r>
          </w:p>
        </w:tc>
        <w:tc>
          <w:tcPr>
            <w:tcW w:w="1069" w:type="dxa"/>
            <w:vAlign w:val="center"/>
          </w:tcPr>
          <w:p>
            <w:pPr>
              <w:jc w:val="center"/>
              <w:rPr>
                <w:rFonts w:ascii="仿宋" w:hAnsi="仿宋" w:eastAsia="仿宋"/>
                <w:bCs/>
              </w:rPr>
            </w:pPr>
            <w:r>
              <w:rPr>
                <w:rFonts w:hint="eastAsia" w:ascii="仿宋" w:hAnsi="仿宋" w:eastAsia="仿宋"/>
                <w:bCs/>
              </w:rPr>
              <w:t>分值</w:t>
            </w:r>
          </w:p>
        </w:tc>
        <w:tc>
          <w:tcPr>
            <w:tcW w:w="1884" w:type="dxa"/>
            <w:vAlign w:val="center"/>
          </w:tcPr>
          <w:p>
            <w:pPr>
              <w:jc w:val="center"/>
              <w:rPr>
                <w:rFonts w:ascii="仿宋" w:hAnsi="仿宋" w:eastAsia="仿宋"/>
                <w:bCs/>
              </w:rPr>
            </w:pPr>
            <w:r>
              <w:rPr>
                <w:rFonts w:hint="eastAsia" w:ascii="仿宋" w:hAnsi="仿宋" w:eastAsia="仿宋"/>
                <w:bCs/>
              </w:rPr>
              <w:t>三级指标</w:t>
            </w:r>
          </w:p>
        </w:tc>
        <w:tc>
          <w:tcPr>
            <w:tcW w:w="1070" w:type="dxa"/>
            <w:vAlign w:val="center"/>
          </w:tcPr>
          <w:p>
            <w:pPr>
              <w:jc w:val="center"/>
              <w:rPr>
                <w:rFonts w:ascii="仿宋" w:hAnsi="仿宋" w:eastAsia="仿宋"/>
                <w:bCs/>
              </w:rPr>
            </w:pPr>
            <w:r>
              <w:rPr>
                <w:rFonts w:hint="eastAsia" w:ascii="仿宋" w:hAnsi="仿宋" w:eastAsia="仿宋"/>
                <w:bCs/>
              </w:rPr>
              <w:t>分值</w:t>
            </w:r>
          </w:p>
        </w:tc>
        <w:tc>
          <w:tcPr>
            <w:tcW w:w="1070" w:type="dxa"/>
            <w:vAlign w:val="center"/>
          </w:tcPr>
          <w:p>
            <w:pPr>
              <w:jc w:val="center"/>
              <w:rPr>
                <w:rFonts w:ascii="仿宋" w:hAnsi="仿宋" w:eastAsia="仿宋"/>
                <w:bCs/>
              </w:rPr>
            </w:pPr>
            <w:r>
              <w:rPr>
                <w:rFonts w:hint="eastAsia" w:ascii="仿宋" w:hAnsi="仿宋" w:eastAsia="仿宋"/>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70" w:type="dxa"/>
            <w:vMerge w:val="restart"/>
            <w:vAlign w:val="center"/>
          </w:tcPr>
          <w:p>
            <w:pPr>
              <w:autoSpaceDE w:val="0"/>
              <w:autoSpaceDN w:val="0"/>
              <w:adjustRightInd w:val="0"/>
              <w:jc w:val="center"/>
              <w:rPr>
                <w:rFonts w:ascii="仿宋" w:hAnsi="仿宋" w:eastAsia="仿宋" w:cs="仿宋_GB2312"/>
                <w:kern w:val="0"/>
                <w:szCs w:val="21"/>
              </w:rPr>
            </w:pPr>
            <w:r>
              <w:rPr>
                <w:rFonts w:hint="eastAsia" w:ascii="仿宋" w:hAnsi="仿宋" w:eastAsia="仿宋" w:cs="仿宋_GB2312"/>
                <w:kern w:val="0"/>
                <w:szCs w:val="21"/>
              </w:rPr>
              <w:t>决策</w:t>
            </w:r>
          </w:p>
        </w:tc>
        <w:tc>
          <w:tcPr>
            <w:tcW w:w="1069" w:type="dxa"/>
            <w:vMerge w:val="restart"/>
            <w:vAlign w:val="center"/>
          </w:tcPr>
          <w:p>
            <w:pPr>
              <w:autoSpaceDE w:val="0"/>
              <w:autoSpaceDN w:val="0"/>
              <w:adjustRightInd w:val="0"/>
              <w:jc w:val="center"/>
              <w:rPr>
                <w:rFonts w:ascii="仿宋" w:hAnsi="仿宋" w:eastAsia="仿宋" w:cs="仿宋_GB2312"/>
                <w:kern w:val="0"/>
                <w:szCs w:val="21"/>
              </w:rPr>
            </w:pPr>
            <w:r>
              <w:rPr>
                <w:rFonts w:hint="eastAsia" w:ascii="仿宋" w:hAnsi="仿宋" w:eastAsia="仿宋" w:cs="仿宋_GB2312"/>
                <w:kern w:val="0"/>
                <w:szCs w:val="21"/>
              </w:rPr>
              <w:t>16</w:t>
            </w:r>
          </w:p>
        </w:tc>
        <w:tc>
          <w:tcPr>
            <w:tcW w:w="1069" w:type="dxa"/>
            <w:vMerge w:val="restart"/>
            <w:vAlign w:val="center"/>
          </w:tcPr>
          <w:p>
            <w:pPr>
              <w:autoSpaceDE w:val="0"/>
              <w:autoSpaceDN w:val="0"/>
              <w:adjustRightInd w:val="0"/>
              <w:jc w:val="center"/>
              <w:rPr>
                <w:rFonts w:ascii="仿宋" w:hAnsi="仿宋" w:eastAsia="仿宋" w:cs="仿宋_GB2312"/>
                <w:kern w:val="0"/>
                <w:szCs w:val="21"/>
              </w:rPr>
            </w:pPr>
            <w:r>
              <w:rPr>
                <w:rFonts w:hint="eastAsia" w:ascii="仿宋" w:hAnsi="仿宋" w:eastAsia="仿宋" w:cs="仿宋_GB2312"/>
                <w:kern w:val="0"/>
                <w:szCs w:val="21"/>
              </w:rPr>
              <w:t>项目立项</w:t>
            </w:r>
          </w:p>
        </w:tc>
        <w:tc>
          <w:tcPr>
            <w:tcW w:w="1069" w:type="dxa"/>
            <w:vMerge w:val="restart"/>
            <w:vAlign w:val="center"/>
          </w:tcPr>
          <w:p>
            <w:pPr>
              <w:autoSpaceDE w:val="0"/>
              <w:autoSpaceDN w:val="0"/>
              <w:adjustRightInd w:val="0"/>
              <w:jc w:val="center"/>
              <w:rPr>
                <w:rFonts w:ascii="仿宋" w:hAnsi="仿宋" w:eastAsia="仿宋" w:cs="仿宋_GB2312"/>
                <w:kern w:val="0"/>
                <w:szCs w:val="21"/>
              </w:rPr>
            </w:pPr>
            <w:r>
              <w:rPr>
                <w:rFonts w:hint="eastAsia" w:ascii="仿宋" w:hAnsi="仿宋" w:eastAsia="仿宋" w:cs="仿宋_GB2312"/>
                <w:kern w:val="0"/>
                <w:szCs w:val="21"/>
              </w:rPr>
              <w:t>4</w:t>
            </w:r>
          </w:p>
        </w:tc>
        <w:tc>
          <w:tcPr>
            <w:tcW w:w="1884" w:type="dxa"/>
            <w:vAlign w:val="center"/>
          </w:tcPr>
          <w:p>
            <w:pPr>
              <w:rPr>
                <w:rFonts w:ascii="仿宋" w:hAnsi="仿宋" w:eastAsia="仿宋"/>
              </w:rPr>
            </w:pPr>
            <w:r>
              <w:rPr>
                <w:rFonts w:hint="eastAsia" w:ascii="仿宋" w:hAnsi="仿宋" w:eastAsia="仿宋"/>
              </w:rPr>
              <w:t>立项依据充分性</w:t>
            </w:r>
          </w:p>
        </w:tc>
        <w:tc>
          <w:tcPr>
            <w:tcW w:w="1070" w:type="dxa"/>
            <w:vAlign w:val="center"/>
          </w:tcPr>
          <w:p>
            <w:pPr>
              <w:jc w:val="center"/>
              <w:rPr>
                <w:rFonts w:ascii="仿宋" w:hAnsi="仿宋" w:eastAsia="仿宋"/>
              </w:rPr>
            </w:pPr>
            <w:r>
              <w:rPr>
                <w:rFonts w:hint="eastAsia" w:ascii="仿宋" w:hAnsi="仿宋" w:eastAsia="仿宋"/>
              </w:rPr>
              <w:t>1</w:t>
            </w:r>
          </w:p>
        </w:tc>
        <w:tc>
          <w:tcPr>
            <w:tcW w:w="1070" w:type="dxa"/>
            <w:vAlign w:val="center"/>
          </w:tcPr>
          <w:p>
            <w:pPr>
              <w:jc w:val="center"/>
              <w:rPr>
                <w:rFonts w:ascii="仿宋" w:hAnsi="仿宋" w:eastAsia="仿宋"/>
              </w:rPr>
            </w:pPr>
            <w:r>
              <w:rPr>
                <w:rFonts w:hint="eastAsia" w:ascii="仿宋" w:hAnsi="仿宋" w:eastAsia="仿宋"/>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70" w:type="dxa"/>
            <w:vMerge w:val="continue"/>
            <w:vAlign w:val="center"/>
          </w:tcPr>
          <w:p>
            <w:pPr>
              <w:autoSpaceDE w:val="0"/>
              <w:autoSpaceDN w:val="0"/>
              <w:adjustRightInd w:val="0"/>
              <w:jc w:val="center"/>
              <w:rPr>
                <w:rFonts w:ascii="仿宋" w:hAnsi="仿宋" w:eastAsia="仿宋" w:cs="仿宋_GB2312"/>
                <w:kern w:val="0"/>
                <w:szCs w:val="21"/>
              </w:rPr>
            </w:pPr>
          </w:p>
        </w:tc>
        <w:tc>
          <w:tcPr>
            <w:tcW w:w="1069" w:type="dxa"/>
            <w:vMerge w:val="continue"/>
            <w:vAlign w:val="center"/>
          </w:tcPr>
          <w:p>
            <w:pPr>
              <w:autoSpaceDE w:val="0"/>
              <w:autoSpaceDN w:val="0"/>
              <w:adjustRightInd w:val="0"/>
              <w:jc w:val="center"/>
              <w:rPr>
                <w:rFonts w:ascii="仿宋" w:hAnsi="仿宋" w:eastAsia="仿宋" w:cs="仿宋_GB2312"/>
                <w:kern w:val="0"/>
                <w:szCs w:val="21"/>
              </w:rPr>
            </w:pPr>
          </w:p>
        </w:tc>
        <w:tc>
          <w:tcPr>
            <w:tcW w:w="1069" w:type="dxa"/>
            <w:vMerge w:val="continue"/>
            <w:vAlign w:val="center"/>
          </w:tcPr>
          <w:p>
            <w:pPr>
              <w:autoSpaceDE w:val="0"/>
              <w:autoSpaceDN w:val="0"/>
              <w:adjustRightInd w:val="0"/>
              <w:jc w:val="center"/>
              <w:rPr>
                <w:rFonts w:ascii="仿宋" w:hAnsi="仿宋" w:eastAsia="仿宋" w:cs="仿宋_GB2312"/>
                <w:kern w:val="0"/>
                <w:szCs w:val="21"/>
              </w:rPr>
            </w:pPr>
          </w:p>
        </w:tc>
        <w:tc>
          <w:tcPr>
            <w:tcW w:w="1069" w:type="dxa"/>
            <w:vMerge w:val="continue"/>
            <w:vAlign w:val="center"/>
          </w:tcPr>
          <w:p>
            <w:pPr>
              <w:autoSpaceDE w:val="0"/>
              <w:autoSpaceDN w:val="0"/>
              <w:adjustRightInd w:val="0"/>
              <w:jc w:val="center"/>
              <w:rPr>
                <w:rFonts w:ascii="仿宋" w:hAnsi="仿宋" w:eastAsia="仿宋" w:cs="仿宋_GB2312"/>
                <w:kern w:val="0"/>
                <w:szCs w:val="21"/>
              </w:rPr>
            </w:pPr>
          </w:p>
        </w:tc>
        <w:tc>
          <w:tcPr>
            <w:tcW w:w="1884" w:type="dxa"/>
            <w:vAlign w:val="center"/>
          </w:tcPr>
          <w:p>
            <w:pPr>
              <w:rPr>
                <w:rFonts w:ascii="仿宋" w:hAnsi="仿宋" w:eastAsia="仿宋"/>
              </w:rPr>
            </w:pPr>
            <w:r>
              <w:rPr>
                <w:rFonts w:hint="eastAsia" w:ascii="仿宋" w:hAnsi="仿宋" w:eastAsia="仿宋"/>
              </w:rPr>
              <w:t>立项程序规范性</w:t>
            </w:r>
          </w:p>
        </w:tc>
        <w:tc>
          <w:tcPr>
            <w:tcW w:w="1070" w:type="dxa"/>
            <w:vAlign w:val="center"/>
          </w:tcPr>
          <w:p>
            <w:pPr>
              <w:jc w:val="center"/>
              <w:rPr>
                <w:rFonts w:ascii="仿宋" w:hAnsi="仿宋" w:eastAsia="仿宋"/>
              </w:rPr>
            </w:pPr>
            <w:r>
              <w:rPr>
                <w:rFonts w:hint="eastAsia" w:ascii="仿宋" w:hAnsi="仿宋" w:eastAsia="仿宋"/>
              </w:rPr>
              <w:t>3</w:t>
            </w:r>
          </w:p>
        </w:tc>
        <w:tc>
          <w:tcPr>
            <w:tcW w:w="1070" w:type="dxa"/>
            <w:vAlign w:val="center"/>
          </w:tcPr>
          <w:p>
            <w:pPr>
              <w:jc w:val="center"/>
              <w:rPr>
                <w:rFonts w:ascii="仿宋" w:hAnsi="仿宋" w:eastAsia="仿宋"/>
              </w:rPr>
            </w:pPr>
            <w:r>
              <w:rPr>
                <w:rFonts w:hint="eastAsia" w:ascii="仿宋" w:hAnsi="仿宋" w:eastAsia="仿宋"/>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70" w:type="dxa"/>
            <w:vMerge w:val="continue"/>
            <w:vAlign w:val="center"/>
          </w:tcPr>
          <w:p>
            <w:pPr>
              <w:autoSpaceDE w:val="0"/>
              <w:autoSpaceDN w:val="0"/>
              <w:adjustRightInd w:val="0"/>
              <w:jc w:val="center"/>
              <w:rPr>
                <w:rFonts w:ascii="仿宋" w:hAnsi="仿宋" w:eastAsia="仿宋" w:cs="仿宋_GB2312"/>
                <w:kern w:val="0"/>
                <w:szCs w:val="21"/>
              </w:rPr>
            </w:pPr>
          </w:p>
        </w:tc>
        <w:tc>
          <w:tcPr>
            <w:tcW w:w="1069" w:type="dxa"/>
            <w:vMerge w:val="continue"/>
            <w:vAlign w:val="center"/>
          </w:tcPr>
          <w:p>
            <w:pPr>
              <w:autoSpaceDE w:val="0"/>
              <w:autoSpaceDN w:val="0"/>
              <w:adjustRightInd w:val="0"/>
              <w:jc w:val="center"/>
              <w:rPr>
                <w:rFonts w:ascii="仿宋" w:hAnsi="仿宋" w:eastAsia="仿宋" w:cs="仿宋_GB2312"/>
                <w:kern w:val="0"/>
                <w:szCs w:val="21"/>
              </w:rPr>
            </w:pPr>
          </w:p>
        </w:tc>
        <w:tc>
          <w:tcPr>
            <w:tcW w:w="1069" w:type="dxa"/>
            <w:vMerge w:val="restart"/>
            <w:vAlign w:val="center"/>
          </w:tcPr>
          <w:p>
            <w:pPr>
              <w:autoSpaceDE w:val="0"/>
              <w:autoSpaceDN w:val="0"/>
              <w:adjustRightInd w:val="0"/>
              <w:jc w:val="center"/>
              <w:rPr>
                <w:rFonts w:ascii="仿宋" w:hAnsi="仿宋" w:eastAsia="仿宋" w:cs="仿宋_GB2312"/>
                <w:kern w:val="0"/>
                <w:szCs w:val="21"/>
              </w:rPr>
            </w:pPr>
            <w:r>
              <w:rPr>
                <w:rFonts w:hint="eastAsia" w:ascii="仿宋" w:hAnsi="仿宋" w:eastAsia="仿宋" w:cs="仿宋_GB2312"/>
                <w:kern w:val="0"/>
                <w:szCs w:val="21"/>
              </w:rPr>
              <w:t>绩效目标</w:t>
            </w:r>
          </w:p>
        </w:tc>
        <w:tc>
          <w:tcPr>
            <w:tcW w:w="1069" w:type="dxa"/>
            <w:vMerge w:val="restart"/>
            <w:vAlign w:val="center"/>
          </w:tcPr>
          <w:p>
            <w:pPr>
              <w:autoSpaceDE w:val="0"/>
              <w:autoSpaceDN w:val="0"/>
              <w:adjustRightInd w:val="0"/>
              <w:jc w:val="center"/>
              <w:rPr>
                <w:rFonts w:ascii="仿宋" w:hAnsi="仿宋" w:eastAsia="仿宋" w:cs="仿宋_GB2312"/>
                <w:kern w:val="0"/>
                <w:szCs w:val="21"/>
              </w:rPr>
            </w:pPr>
            <w:r>
              <w:rPr>
                <w:rFonts w:hint="eastAsia" w:ascii="仿宋" w:hAnsi="仿宋" w:eastAsia="仿宋" w:cs="仿宋_GB2312"/>
                <w:kern w:val="0"/>
                <w:szCs w:val="21"/>
              </w:rPr>
              <w:t>7</w:t>
            </w:r>
          </w:p>
        </w:tc>
        <w:tc>
          <w:tcPr>
            <w:tcW w:w="1884" w:type="dxa"/>
            <w:vAlign w:val="center"/>
          </w:tcPr>
          <w:p>
            <w:pPr>
              <w:rPr>
                <w:rFonts w:ascii="仿宋" w:hAnsi="仿宋" w:eastAsia="仿宋"/>
              </w:rPr>
            </w:pPr>
            <w:r>
              <w:rPr>
                <w:rFonts w:hint="eastAsia" w:ascii="仿宋" w:hAnsi="仿宋" w:eastAsia="仿宋"/>
              </w:rPr>
              <w:t>绩效目标合理性</w:t>
            </w:r>
          </w:p>
        </w:tc>
        <w:tc>
          <w:tcPr>
            <w:tcW w:w="1070" w:type="dxa"/>
            <w:vAlign w:val="center"/>
          </w:tcPr>
          <w:p>
            <w:pPr>
              <w:jc w:val="center"/>
              <w:rPr>
                <w:rFonts w:ascii="仿宋" w:hAnsi="仿宋" w:eastAsia="仿宋"/>
              </w:rPr>
            </w:pPr>
            <w:r>
              <w:rPr>
                <w:rFonts w:hint="eastAsia" w:ascii="仿宋" w:hAnsi="仿宋" w:eastAsia="仿宋"/>
              </w:rPr>
              <w:t>4</w:t>
            </w:r>
          </w:p>
        </w:tc>
        <w:tc>
          <w:tcPr>
            <w:tcW w:w="1070" w:type="dxa"/>
            <w:vAlign w:val="center"/>
          </w:tcPr>
          <w:p>
            <w:pPr>
              <w:jc w:val="center"/>
              <w:rPr>
                <w:rFonts w:ascii="仿宋" w:hAnsi="仿宋" w:eastAsia="仿宋"/>
              </w:rPr>
            </w:pPr>
            <w:r>
              <w:rPr>
                <w:rFonts w:hint="eastAsia" w:ascii="仿宋" w:hAnsi="仿宋" w:eastAsia="仿宋"/>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70" w:type="dxa"/>
            <w:vMerge w:val="continue"/>
            <w:vAlign w:val="center"/>
          </w:tcPr>
          <w:p>
            <w:pPr>
              <w:autoSpaceDE w:val="0"/>
              <w:autoSpaceDN w:val="0"/>
              <w:adjustRightInd w:val="0"/>
              <w:jc w:val="center"/>
              <w:rPr>
                <w:rFonts w:ascii="仿宋" w:hAnsi="仿宋" w:eastAsia="仿宋" w:cs="仿宋_GB2312"/>
                <w:kern w:val="0"/>
                <w:szCs w:val="21"/>
              </w:rPr>
            </w:pPr>
          </w:p>
        </w:tc>
        <w:tc>
          <w:tcPr>
            <w:tcW w:w="1069" w:type="dxa"/>
            <w:vMerge w:val="continue"/>
            <w:vAlign w:val="center"/>
          </w:tcPr>
          <w:p>
            <w:pPr>
              <w:autoSpaceDE w:val="0"/>
              <w:autoSpaceDN w:val="0"/>
              <w:adjustRightInd w:val="0"/>
              <w:jc w:val="center"/>
              <w:rPr>
                <w:rFonts w:ascii="仿宋" w:hAnsi="仿宋" w:eastAsia="仿宋" w:cs="仿宋_GB2312"/>
                <w:kern w:val="0"/>
                <w:szCs w:val="21"/>
              </w:rPr>
            </w:pPr>
          </w:p>
        </w:tc>
        <w:tc>
          <w:tcPr>
            <w:tcW w:w="1069" w:type="dxa"/>
            <w:vMerge w:val="continue"/>
            <w:vAlign w:val="center"/>
          </w:tcPr>
          <w:p>
            <w:pPr>
              <w:autoSpaceDE w:val="0"/>
              <w:autoSpaceDN w:val="0"/>
              <w:adjustRightInd w:val="0"/>
              <w:jc w:val="center"/>
              <w:rPr>
                <w:rFonts w:ascii="仿宋" w:hAnsi="仿宋" w:eastAsia="仿宋" w:cs="仿宋_GB2312"/>
                <w:kern w:val="0"/>
                <w:szCs w:val="21"/>
              </w:rPr>
            </w:pPr>
          </w:p>
        </w:tc>
        <w:tc>
          <w:tcPr>
            <w:tcW w:w="1069" w:type="dxa"/>
            <w:vMerge w:val="continue"/>
            <w:vAlign w:val="center"/>
          </w:tcPr>
          <w:p>
            <w:pPr>
              <w:autoSpaceDE w:val="0"/>
              <w:autoSpaceDN w:val="0"/>
              <w:adjustRightInd w:val="0"/>
              <w:jc w:val="center"/>
              <w:rPr>
                <w:rFonts w:ascii="仿宋" w:hAnsi="仿宋" w:eastAsia="仿宋" w:cs="仿宋_GB2312"/>
                <w:kern w:val="0"/>
                <w:szCs w:val="21"/>
              </w:rPr>
            </w:pPr>
          </w:p>
        </w:tc>
        <w:tc>
          <w:tcPr>
            <w:tcW w:w="1884" w:type="dxa"/>
            <w:vAlign w:val="center"/>
          </w:tcPr>
          <w:p>
            <w:pPr>
              <w:rPr>
                <w:rFonts w:ascii="仿宋" w:hAnsi="仿宋" w:eastAsia="仿宋"/>
              </w:rPr>
            </w:pPr>
            <w:r>
              <w:rPr>
                <w:rFonts w:hint="eastAsia" w:ascii="仿宋" w:hAnsi="仿宋" w:eastAsia="仿宋"/>
              </w:rPr>
              <w:t>绩效指标明确性</w:t>
            </w:r>
          </w:p>
        </w:tc>
        <w:tc>
          <w:tcPr>
            <w:tcW w:w="1070" w:type="dxa"/>
            <w:vAlign w:val="center"/>
          </w:tcPr>
          <w:p>
            <w:pPr>
              <w:jc w:val="center"/>
              <w:rPr>
                <w:rFonts w:ascii="仿宋" w:hAnsi="仿宋" w:eastAsia="仿宋"/>
              </w:rPr>
            </w:pPr>
            <w:r>
              <w:rPr>
                <w:rFonts w:hint="eastAsia" w:ascii="仿宋" w:hAnsi="仿宋" w:eastAsia="仿宋"/>
              </w:rPr>
              <w:t>3</w:t>
            </w:r>
          </w:p>
        </w:tc>
        <w:tc>
          <w:tcPr>
            <w:tcW w:w="1070" w:type="dxa"/>
            <w:vAlign w:val="center"/>
          </w:tcPr>
          <w:p>
            <w:pPr>
              <w:jc w:val="center"/>
              <w:rPr>
                <w:rFonts w:ascii="仿宋" w:hAnsi="仿宋" w:eastAsia="仿宋"/>
              </w:rPr>
            </w:pPr>
            <w:r>
              <w:rPr>
                <w:rFonts w:hint="eastAsia" w:ascii="仿宋" w:hAnsi="仿宋" w:eastAsia="仿宋"/>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70" w:type="dxa"/>
            <w:vMerge w:val="continue"/>
            <w:vAlign w:val="center"/>
          </w:tcPr>
          <w:p>
            <w:pPr>
              <w:autoSpaceDE w:val="0"/>
              <w:autoSpaceDN w:val="0"/>
              <w:adjustRightInd w:val="0"/>
              <w:jc w:val="center"/>
              <w:rPr>
                <w:rFonts w:ascii="仿宋" w:hAnsi="仿宋" w:eastAsia="仿宋" w:cs="仿宋_GB2312"/>
                <w:kern w:val="0"/>
                <w:szCs w:val="21"/>
              </w:rPr>
            </w:pPr>
          </w:p>
        </w:tc>
        <w:tc>
          <w:tcPr>
            <w:tcW w:w="1069" w:type="dxa"/>
            <w:vMerge w:val="continue"/>
            <w:vAlign w:val="center"/>
          </w:tcPr>
          <w:p>
            <w:pPr>
              <w:autoSpaceDE w:val="0"/>
              <w:autoSpaceDN w:val="0"/>
              <w:adjustRightInd w:val="0"/>
              <w:jc w:val="center"/>
              <w:rPr>
                <w:rFonts w:ascii="仿宋" w:hAnsi="仿宋" w:eastAsia="仿宋" w:cs="仿宋_GB2312"/>
                <w:kern w:val="0"/>
                <w:szCs w:val="21"/>
              </w:rPr>
            </w:pPr>
          </w:p>
        </w:tc>
        <w:tc>
          <w:tcPr>
            <w:tcW w:w="1069" w:type="dxa"/>
            <w:vMerge w:val="restart"/>
            <w:vAlign w:val="center"/>
          </w:tcPr>
          <w:p>
            <w:pPr>
              <w:autoSpaceDE w:val="0"/>
              <w:autoSpaceDN w:val="0"/>
              <w:adjustRightInd w:val="0"/>
              <w:jc w:val="center"/>
              <w:rPr>
                <w:rFonts w:ascii="仿宋" w:hAnsi="仿宋" w:eastAsia="仿宋" w:cs="仿宋_GB2312"/>
                <w:kern w:val="0"/>
                <w:szCs w:val="21"/>
              </w:rPr>
            </w:pPr>
            <w:r>
              <w:rPr>
                <w:rFonts w:hint="eastAsia" w:ascii="仿宋" w:hAnsi="仿宋" w:eastAsia="仿宋" w:cs="仿宋_GB2312"/>
                <w:kern w:val="0"/>
                <w:szCs w:val="21"/>
              </w:rPr>
              <w:t>资金投入</w:t>
            </w:r>
          </w:p>
        </w:tc>
        <w:tc>
          <w:tcPr>
            <w:tcW w:w="1069" w:type="dxa"/>
            <w:vMerge w:val="restart"/>
            <w:vAlign w:val="center"/>
          </w:tcPr>
          <w:p>
            <w:pPr>
              <w:autoSpaceDE w:val="0"/>
              <w:autoSpaceDN w:val="0"/>
              <w:adjustRightInd w:val="0"/>
              <w:jc w:val="center"/>
              <w:rPr>
                <w:rFonts w:ascii="仿宋" w:hAnsi="仿宋" w:eastAsia="仿宋" w:cs="仿宋_GB2312"/>
                <w:kern w:val="0"/>
                <w:szCs w:val="21"/>
              </w:rPr>
            </w:pPr>
            <w:r>
              <w:rPr>
                <w:rFonts w:hint="eastAsia" w:ascii="仿宋" w:hAnsi="仿宋" w:eastAsia="仿宋" w:cs="仿宋_GB2312"/>
                <w:kern w:val="0"/>
                <w:szCs w:val="21"/>
              </w:rPr>
              <w:t>5</w:t>
            </w:r>
          </w:p>
        </w:tc>
        <w:tc>
          <w:tcPr>
            <w:tcW w:w="1884" w:type="dxa"/>
            <w:vAlign w:val="center"/>
          </w:tcPr>
          <w:p>
            <w:pPr>
              <w:rPr>
                <w:rFonts w:ascii="仿宋" w:hAnsi="仿宋" w:eastAsia="仿宋"/>
              </w:rPr>
            </w:pPr>
            <w:r>
              <w:rPr>
                <w:rFonts w:hint="eastAsia" w:ascii="仿宋" w:hAnsi="仿宋" w:eastAsia="仿宋"/>
              </w:rPr>
              <w:t>预算编制科学性</w:t>
            </w:r>
          </w:p>
        </w:tc>
        <w:tc>
          <w:tcPr>
            <w:tcW w:w="1070" w:type="dxa"/>
            <w:vAlign w:val="center"/>
          </w:tcPr>
          <w:p>
            <w:pPr>
              <w:jc w:val="center"/>
              <w:rPr>
                <w:rFonts w:ascii="仿宋" w:hAnsi="仿宋" w:eastAsia="仿宋"/>
              </w:rPr>
            </w:pPr>
            <w:r>
              <w:rPr>
                <w:rFonts w:hint="eastAsia" w:ascii="仿宋" w:hAnsi="仿宋" w:eastAsia="仿宋"/>
              </w:rPr>
              <w:t>3</w:t>
            </w:r>
          </w:p>
        </w:tc>
        <w:tc>
          <w:tcPr>
            <w:tcW w:w="1070" w:type="dxa"/>
            <w:vAlign w:val="center"/>
          </w:tcPr>
          <w:p>
            <w:pPr>
              <w:jc w:val="center"/>
              <w:rPr>
                <w:rFonts w:ascii="仿宋" w:hAnsi="仿宋" w:eastAsia="仿宋"/>
              </w:rPr>
            </w:pPr>
            <w:r>
              <w:rPr>
                <w:rFonts w:hint="eastAsia" w:ascii="仿宋" w:hAnsi="仿宋" w:eastAsia="仿宋"/>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70" w:type="dxa"/>
            <w:vMerge w:val="continue"/>
          </w:tcPr>
          <w:p>
            <w:pPr>
              <w:autoSpaceDE w:val="0"/>
              <w:autoSpaceDN w:val="0"/>
              <w:adjustRightInd w:val="0"/>
              <w:rPr>
                <w:rFonts w:ascii="仿宋" w:hAnsi="仿宋" w:eastAsia="仿宋" w:cs="仿宋_GB2312"/>
                <w:kern w:val="0"/>
                <w:sz w:val="30"/>
                <w:szCs w:val="30"/>
              </w:rPr>
            </w:pPr>
          </w:p>
        </w:tc>
        <w:tc>
          <w:tcPr>
            <w:tcW w:w="1069" w:type="dxa"/>
            <w:vMerge w:val="continue"/>
          </w:tcPr>
          <w:p>
            <w:pPr>
              <w:autoSpaceDE w:val="0"/>
              <w:autoSpaceDN w:val="0"/>
              <w:adjustRightInd w:val="0"/>
              <w:rPr>
                <w:rFonts w:ascii="仿宋" w:hAnsi="仿宋" w:eastAsia="仿宋" w:cs="仿宋_GB2312"/>
                <w:kern w:val="0"/>
                <w:sz w:val="30"/>
                <w:szCs w:val="30"/>
              </w:rPr>
            </w:pPr>
          </w:p>
        </w:tc>
        <w:tc>
          <w:tcPr>
            <w:tcW w:w="1069" w:type="dxa"/>
            <w:vMerge w:val="continue"/>
          </w:tcPr>
          <w:p>
            <w:pPr>
              <w:autoSpaceDE w:val="0"/>
              <w:autoSpaceDN w:val="0"/>
              <w:adjustRightInd w:val="0"/>
              <w:rPr>
                <w:rFonts w:ascii="仿宋" w:hAnsi="仿宋" w:eastAsia="仿宋" w:cs="仿宋_GB2312"/>
                <w:kern w:val="0"/>
                <w:sz w:val="30"/>
                <w:szCs w:val="30"/>
              </w:rPr>
            </w:pPr>
          </w:p>
        </w:tc>
        <w:tc>
          <w:tcPr>
            <w:tcW w:w="1069" w:type="dxa"/>
            <w:vMerge w:val="continue"/>
          </w:tcPr>
          <w:p>
            <w:pPr>
              <w:autoSpaceDE w:val="0"/>
              <w:autoSpaceDN w:val="0"/>
              <w:adjustRightInd w:val="0"/>
              <w:rPr>
                <w:rFonts w:ascii="仿宋" w:hAnsi="仿宋" w:eastAsia="仿宋" w:cs="仿宋_GB2312"/>
                <w:kern w:val="0"/>
                <w:sz w:val="30"/>
                <w:szCs w:val="30"/>
              </w:rPr>
            </w:pPr>
          </w:p>
        </w:tc>
        <w:tc>
          <w:tcPr>
            <w:tcW w:w="1884" w:type="dxa"/>
            <w:vAlign w:val="center"/>
          </w:tcPr>
          <w:p>
            <w:pPr>
              <w:rPr>
                <w:rFonts w:ascii="仿宋" w:hAnsi="仿宋" w:eastAsia="仿宋" w:cs="宋体"/>
                <w:szCs w:val="21"/>
              </w:rPr>
            </w:pPr>
            <w:r>
              <w:rPr>
                <w:rFonts w:hint="eastAsia" w:ascii="仿宋" w:hAnsi="仿宋" w:eastAsia="仿宋" w:cs="宋体"/>
                <w:szCs w:val="21"/>
              </w:rPr>
              <w:t>资金分配合理性</w:t>
            </w:r>
          </w:p>
        </w:tc>
        <w:tc>
          <w:tcPr>
            <w:tcW w:w="1070" w:type="dxa"/>
            <w:vAlign w:val="center"/>
          </w:tcPr>
          <w:p>
            <w:pPr>
              <w:jc w:val="center"/>
              <w:rPr>
                <w:rFonts w:ascii="仿宋" w:hAnsi="仿宋" w:eastAsia="仿宋"/>
              </w:rPr>
            </w:pPr>
            <w:r>
              <w:rPr>
                <w:rFonts w:hint="eastAsia" w:ascii="仿宋" w:hAnsi="仿宋" w:eastAsia="仿宋"/>
              </w:rPr>
              <w:t>2</w:t>
            </w:r>
          </w:p>
        </w:tc>
        <w:tc>
          <w:tcPr>
            <w:tcW w:w="1070" w:type="dxa"/>
            <w:vAlign w:val="center"/>
          </w:tcPr>
          <w:p>
            <w:pPr>
              <w:jc w:val="center"/>
              <w:rPr>
                <w:rFonts w:ascii="仿宋" w:hAnsi="仿宋" w:eastAsia="仿宋"/>
              </w:rPr>
            </w:pPr>
            <w:r>
              <w:rPr>
                <w:rFonts w:hint="eastAsia" w:ascii="仿宋" w:hAnsi="仿宋" w:eastAsia="仿宋"/>
              </w:rPr>
              <w:t>2</w:t>
            </w:r>
          </w:p>
        </w:tc>
      </w:tr>
    </w:tbl>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项目立项的两个三级指标用来衡量项目立项是否符合国家或我省我市的相关规定，立项的程序是否合规；绩效目标的两个三级指标用来衡量所设定的绩效目标是否依据充分，是否符合客观实际，用以反映和考核项目绩效目标与项目实施的相符情况，依据绩效目标设定的绩效指标是否清晰、细化、可衡量等；资金投入的两个三级指标用来衡量预算资金的编制是否符合项目的需求，编制的依据是否充分，是否按标准编制，资金分配额度是否合理，与项目单位或地方实际是否相适应。</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s="??_GB2312"/>
          <w:kern w:val="0"/>
          <w:sz w:val="30"/>
          <w:szCs w:val="30"/>
        </w:rPr>
        <w:t>项目立项充分性</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运城市盐湖区林业局部分部门职责：拟定全区林业生态环境建设，林业资源保护和国土绿化的相关规划；拟定全区林业发展战略、中长期发展规划并组织实施；管理全区林业资金；监督林业资金的管理和使用；组织开展植树造林、退耕还林、天然林保护和封山育林工作；组织、指导以植树种草等生物措施防治水土流失工程；指导全区国有林场（苗圃）、森林公园及基层林业工作的建设和管理。</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项目立项符合相关法律政策的要求，与部门职责范围相符。</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满分</w:t>
      </w:r>
      <w:r>
        <w:rPr>
          <w:rFonts w:hint="eastAsia" w:ascii="仿宋" w:hAnsi="仿宋" w:eastAsia="仿宋"/>
          <w:color w:val="000000"/>
          <w:sz w:val="30"/>
          <w:szCs w:val="30"/>
        </w:rPr>
        <w:t>1</w:t>
      </w:r>
      <w:r>
        <w:rPr>
          <w:rFonts w:ascii="仿宋" w:hAnsi="仿宋" w:eastAsia="仿宋"/>
          <w:color w:val="000000"/>
          <w:sz w:val="30"/>
          <w:szCs w:val="30"/>
        </w:rPr>
        <w:t>分，得分</w:t>
      </w:r>
      <w:r>
        <w:rPr>
          <w:rFonts w:hint="eastAsia" w:ascii="仿宋" w:hAnsi="仿宋" w:eastAsia="仿宋"/>
          <w:color w:val="000000"/>
          <w:sz w:val="30"/>
          <w:szCs w:val="30"/>
        </w:rPr>
        <w:t>1</w:t>
      </w:r>
      <w:r>
        <w:rPr>
          <w:rFonts w:ascii="仿宋" w:hAnsi="仿宋" w:eastAsia="仿宋"/>
          <w:color w:val="000000"/>
          <w:sz w:val="30"/>
          <w:szCs w:val="30"/>
        </w:rPr>
        <w:t>分。</w:t>
      </w:r>
    </w:p>
    <w:p>
      <w:pPr>
        <w:tabs>
          <w:tab w:val="left" w:pos="1182"/>
        </w:tabs>
        <w:spacing w:line="600" w:lineRule="exact"/>
        <w:ind w:firstLine="600" w:firstLineChars="200"/>
        <w:rPr>
          <w:rFonts w:ascii="仿宋" w:hAnsi="仿宋" w:eastAsia="仿宋" w:cs="??_GB2312"/>
          <w:kern w:val="0"/>
          <w:sz w:val="30"/>
          <w:szCs w:val="30"/>
        </w:rPr>
      </w:pPr>
      <w:r>
        <w:rPr>
          <w:rFonts w:ascii="仿宋" w:hAnsi="仿宋" w:eastAsia="仿宋" w:cs="??_GB2312"/>
          <w:kern w:val="0"/>
          <w:sz w:val="30"/>
          <w:szCs w:val="30"/>
        </w:rPr>
        <w:t>（2</w:t>
      </w:r>
      <w:r>
        <w:rPr>
          <w:rFonts w:hint="eastAsia" w:ascii="仿宋" w:hAnsi="仿宋" w:eastAsia="仿宋" w:cs="??_GB2312"/>
          <w:kern w:val="0"/>
          <w:sz w:val="30"/>
          <w:szCs w:val="30"/>
        </w:rPr>
        <w:t>）立项程序规范性</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项目按照规定的程序申请设立；审批文件、材料符合相关要求；事前经过必要的可行性研究、专家论证、集体决策等程序。</w:t>
      </w:r>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满分3分，得分3分。</w:t>
      </w:r>
    </w:p>
    <w:p>
      <w:pPr>
        <w:tabs>
          <w:tab w:val="left" w:pos="1182"/>
        </w:tabs>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（3）绩效目标合理性</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项目单位设定有绩效目标，但不够全面，缺少质量、时效性指标；项目绩效目标与实际工作内容具有相关性；项目预期产出效益和效果符合正常的业绩水平；预算确定的项目投资额或资金量相匹配。</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满分4分，得分3分。</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w:t>
      </w:r>
      <w:r>
        <w:rPr>
          <w:rFonts w:hint="eastAsia" w:ascii="仿宋" w:hAnsi="仿宋" w:eastAsia="仿宋"/>
          <w:color w:val="000000"/>
          <w:sz w:val="30"/>
          <w:szCs w:val="30"/>
        </w:rPr>
        <w:t>4</w:t>
      </w:r>
      <w:r>
        <w:rPr>
          <w:rFonts w:ascii="仿宋" w:hAnsi="仿宋" w:eastAsia="仿宋"/>
          <w:color w:val="000000"/>
          <w:sz w:val="30"/>
          <w:szCs w:val="30"/>
        </w:rPr>
        <w:t>）绩效</w:t>
      </w:r>
      <w:r>
        <w:rPr>
          <w:rFonts w:hint="eastAsia" w:ascii="仿宋" w:hAnsi="仿宋" w:eastAsia="仿宋"/>
          <w:color w:val="000000"/>
          <w:sz w:val="30"/>
          <w:szCs w:val="30"/>
        </w:rPr>
        <w:t>指标</w:t>
      </w:r>
      <w:r>
        <w:rPr>
          <w:rFonts w:ascii="仿宋" w:hAnsi="仿宋" w:eastAsia="仿宋"/>
          <w:color w:val="000000"/>
          <w:sz w:val="30"/>
          <w:szCs w:val="30"/>
        </w:rPr>
        <w:t>明确性</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项目绩效目标未细化为具体的</w:t>
      </w:r>
      <w:r>
        <w:rPr>
          <w:rFonts w:hint="eastAsia" w:ascii="仿宋" w:hAnsi="仿宋" w:eastAsia="仿宋"/>
          <w:color w:val="000000"/>
          <w:sz w:val="30"/>
          <w:szCs w:val="30"/>
        </w:rPr>
        <w:t>、可衡量</w:t>
      </w:r>
      <w:r>
        <w:rPr>
          <w:rFonts w:ascii="仿宋" w:hAnsi="仿宋" w:eastAsia="仿宋"/>
          <w:color w:val="000000"/>
          <w:sz w:val="30"/>
          <w:szCs w:val="30"/>
        </w:rPr>
        <w:t>的</w:t>
      </w:r>
      <w:r>
        <w:rPr>
          <w:rFonts w:hint="eastAsia" w:ascii="仿宋" w:hAnsi="仿宋" w:eastAsia="仿宋"/>
          <w:color w:val="000000"/>
          <w:sz w:val="30"/>
          <w:szCs w:val="30"/>
        </w:rPr>
        <w:t>指标值</w:t>
      </w:r>
      <w:r>
        <w:rPr>
          <w:rFonts w:ascii="仿宋" w:hAnsi="仿宋" w:eastAsia="仿宋"/>
          <w:color w:val="000000"/>
          <w:sz w:val="30"/>
          <w:szCs w:val="30"/>
        </w:rPr>
        <w:t>；</w:t>
      </w:r>
      <w:r>
        <w:rPr>
          <w:rFonts w:hint="eastAsia" w:ascii="仿宋" w:hAnsi="仿宋" w:eastAsia="仿宋" w:cs="宋体"/>
          <w:color w:val="000000"/>
          <w:sz w:val="30"/>
          <w:szCs w:val="30"/>
        </w:rPr>
        <w:t>项目绩效目标</w:t>
      </w:r>
      <w:r>
        <w:rPr>
          <w:rFonts w:ascii="仿宋" w:hAnsi="仿宋" w:eastAsia="仿宋"/>
          <w:color w:val="000000"/>
          <w:sz w:val="30"/>
          <w:szCs w:val="30"/>
        </w:rPr>
        <w:t>与项目</w:t>
      </w:r>
      <w:r>
        <w:rPr>
          <w:rFonts w:hint="eastAsia" w:ascii="仿宋" w:hAnsi="仿宋" w:eastAsia="仿宋"/>
          <w:color w:val="000000"/>
          <w:sz w:val="30"/>
          <w:szCs w:val="30"/>
        </w:rPr>
        <w:t>年度</w:t>
      </w:r>
      <w:r>
        <w:rPr>
          <w:rFonts w:ascii="仿宋" w:hAnsi="仿宋" w:eastAsia="仿宋"/>
          <w:color w:val="000000"/>
          <w:sz w:val="30"/>
          <w:szCs w:val="30"/>
        </w:rPr>
        <w:t>计划数相对应。</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满分</w:t>
      </w:r>
      <w:r>
        <w:rPr>
          <w:rFonts w:hint="eastAsia" w:ascii="仿宋" w:hAnsi="仿宋" w:eastAsia="仿宋"/>
          <w:color w:val="000000"/>
          <w:sz w:val="30"/>
          <w:szCs w:val="30"/>
        </w:rPr>
        <w:t>3</w:t>
      </w:r>
      <w:r>
        <w:rPr>
          <w:rFonts w:ascii="仿宋" w:hAnsi="仿宋" w:eastAsia="仿宋"/>
          <w:color w:val="000000"/>
          <w:sz w:val="30"/>
          <w:szCs w:val="30"/>
        </w:rPr>
        <w:t>分，得分</w:t>
      </w:r>
      <w:r>
        <w:rPr>
          <w:rFonts w:hint="eastAsia" w:ascii="仿宋" w:hAnsi="仿宋" w:eastAsia="仿宋"/>
          <w:color w:val="000000"/>
          <w:sz w:val="30"/>
          <w:szCs w:val="30"/>
        </w:rPr>
        <w:t>1</w:t>
      </w:r>
      <w:r>
        <w:rPr>
          <w:rFonts w:ascii="仿宋" w:hAnsi="仿宋" w:eastAsia="仿宋"/>
          <w:color w:val="000000"/>
          <w:sz w:val="30"/>
          <w:szCs w:val="30"/>
        </w:rPr>
        <w:t>分。</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w:t>
      </w:r>
      <w:r>
        <w:rPr>
          <w:rFonts w:hint="eastAsia" w:ascii="仿宋" w:hAnsi="仿宋" w:eastAsia="仿宋"/>
          <w:color w:val="000000"/>
          <w:sz w:val="30"/>
          <w:szCs w:val="30"/>
        </w:rPr>
        <w:t>5</w:t>
      </w:r>
      <w:r>
        <w:rPr>
          <w:rFonts w:ascii="仿宋" w:hAnsi="仿宋" w:eastAsia="仿宋"/>
          <w:color w:val="000000"/>
          <w:sz w:val="30"/>
          <w:szCs w:val="30"/>
        </w:rPr>
        <w:t>）</w:t>
      </w:r>
      <w:r>
        <w:rPr>
          <w:rFonts w:ascii="仿宋" w:hAnsi="仿宋" w:eastAsia="仿宋" w:cs="宋体"/>
          <w:color w:val="000000"/>
          <w:sz w:val="30"/>
          <w:szCs w:val="30"/>
        </w:rPr>
        <w:t>预算编制科学性</w:t>
      </w:r>
    </w:p>
    <w:p>
      <w:pPr>
        <w:tabs>
          <w:tab w:val="left" w:pos="1182"/>
        </w:tabs>
        <w:spacing w:line="6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预算内容与项目内容相匹配；预算额度测算依据充分，按照标准编制；预算项目资金量与工作任务相匹配。</w:t>
      </w:r>
    </w:p>
    <w:p>
      <w:pPr>
        <w:tabs>
          <w:tab w:val="left" w:pos="1182"/>
        </w:tabs>
        <w:spacing w:line="6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满分</w:t>
      </w:r>
      <w:r>
        <w:rPr>
          <w:rFonts w:hint="eastAsia" w:ascii="仿宋" w:hAnsi="仿宋" w:eastAsia="仿宋"/>
          <w:color w:val="000000"/>
          <w:sz w:val="30"/>
          <w:szCs w:val="30"/>
        </w:rPr>
        <w:t>3</w:t>
      </w:r>
      <w:r>
        <w:rPr>
          <w:rFonts w:hint="eastAsia" w:ascii="仿宋" w:hAnsi="仿宋" w:eastAsia="仿宋" w:cs="宋体"/>
          <w:color w:val="000000"/>
          <w:sz w:val="30"/>
          <w:szCs w:val="30"/>
        </w:rPr>
        <w:t>分，得分</w:t>
      </w:r>
      <w:r>
        <w:rPr>
          <w:rFonts w:hint="eastAsia" w:ascii="仿宋" w:hAnsi="仿宋" w:eastAsia="仿宋"/>
          <w:color w:val="000000"/>
          <w:sz w:val="30"/>
          <w:szCs w:val="30"/>
        </w:rPr>
        <w:t>3</w:t>
      </w:r>
      <w:r>
        <w:rPr>
          <w:rFonts w:hint="eastAsia" w:ascii="仿宋" w:hAnsi="仿宋" w:eastAsia="仿宋" w:cs="宋体"/>
          <w:color w:val="000000"/>
          <w:sz w:val="30"/>
          <w:szCs w:val="30"/>
        </w:rPr>
        <w:t>分。</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w:t>
      </w:r>
      <w:r>
        <w:rPr>
          <w:rFonts w:hint="eastAsia" w:ascii="仿宋" w:hAnsi="仿宋" w:eastAsia="仿宋"/>
          <w:color w:val="000000"/>
          <w:sz w:val="30"/>
          <w:szCs w:val="30"/>
        </w:rPr>
        <w:t>6</w:t>
      </w:r>
      <w:r>
        <w:rPr>
          <w:rFonts w:ascii="仿宋" w:hAnsi="仿宋" w:eastAsia="仿宋"/>
          <w:color w:val="000000"/>
          <w:sz w:val="30"/>
          <w:szCs w:val="30"/>
        </w:rPr>
        <w:t>）</w:t>
      </w:r>
      <w:r>
        <w:rPr>
          <w:rFonts w:hint="eastAsia" w:ascii="仿宋" w:hAnsi="仿宋" w:eastAsia="仿宋" w:cs="宋体"/>
          <w:color w:val="000000"/>
          <w:sz w:val="30"/>
          <w:szCs w:val="30"/>
        </w:rPr>
        <w:t>资金分配合理性</w:t>
      </w:r>
    </w:p>
    <w:p>
      <w:pPr>
        <w:tabs>
          <w:tab w:val="left" w:pos="1182"/>
        </w:tabs>
        <w:spacing w:line="6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预算资金分配依据充分；资金分配额度合理，与实际项目相适应。</w:t>
      </w:r>
    </w:p>
    <w:p>
      <w:pPr>
        <w:tabs>
          <w:tab w:val="left" w:pos="1182"/>
        </w:tabs>
        <w:spacing w:line="6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满分</w:t>
      </w:r>
      <w:r>
        <w:rPr>
          <w:rFonts w:hint="eastAsia" w:ascii="仿宋" w:hAnsi="仿宋" w:eastAsia="仿宋"/>
          <w:color w:val="000000"/>
          <w:sz w:val="30"/>
          <w:szCs w:val="30"/>
        </w:rPr>
        <w:t>2</w:t>
      </w:r>
      <w:r>
        <w:rPr>
          <w:rFonts w:hint="eastAsia" w:ascii="仿宋" w:hAnsi="仿宋" w:eastAsia="仿宋" w:cs="宋体"/>
          <w:color w:val="000000"/>
          <w:sz w:val="30"/>
          <w:szCs w:val="30"/>
        </w:rPr>
        <w:t>分，得分</w:t>
      </w:r>
      <w:r>
        <w:rPr>
          <w:rFonts w:hint="eastAsia" w:ascii="仿宋" w:hAnsi="仿宋" w:eastAsia="仿宋"/>
          <w:color w:val="000000"/>
          <w:sz w:val="30"/>
          <w:szCs w:val="30"/>
        </w:rPr>
        <w:t>2</w:t>
      </w:r>
      <w:r>
        <w:rPr>
          <w:rFonts w:hint="eastAsia" w:ascii="仿宋" w:hAnsi="仿宋" w:eastAsia="仿宋" w:cs="宋体"/>
          <w:color w:val="000000"/>
          <w:sz w:val="30"/>
          <w:szCs w:val="30"/>
        </w:rPr>
        <w:t>分</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w:t>
      </w:r>
      <w:r>
        <w:rPr>
          <w:rFonts w:ascii="仿宋" w:hAnsi="仿宋" w:eastAsia="仿宋"/>
          <w:color w:val="000000"/>
          <w:sz w:val="30"/>
          <w:szCs w:val="30"/>
        </w:rPr>
        <w:t>过程</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过程类指标分为资金管理和组织实施两个二级指标，资金管理有四个三级指标，组织实施有七个三级指标。过程类指标分值共计</w:t>
      </w:r>
      <w:r>
        <w:rPr>
          <w:rFonts w:hint="eastAsia" w:ascii="仿宋" w:hAnsi="仿宋" w:eastAsia="仿宋"/>
          <w:color w:val="000000"/>
          <w:sz w:val="30"/>
          <w:szCs w:val="30"/>
        </w:rPr>
        <w:t>15</w:t>
      </w:r>
      <w:r>
        <w:rPr>
          <w:rFonts w:hint="eastAsia" w:ascii="仿宋" w:hAnsi="仿宋" w:eastAsia="仿宋" w:cs="宋体"/>
          <w:color w:val="000000"/>
          <w:sz w:val="30"/>
          <w:szCs w:val="30"/>
        </w:rPr>
        <w:t>分</w:t>
      </w:r>
      <w:r>
        <w:rPr>
          <w:rFonts w:ascii="仿宋" w:hAnsi="仿宋" w:eastAsia="仿宋"/>
          <w:color w:val="000000"/>
          <w:sz w:val="30"/>
          <w:szCs w:val="30"/>
        </w:rPr>
        <w:t>，实际得分为</w:t>
      </w:r>
      <w:r>
        <w:rPr>
          <w:rFonts w:hint="eastAsia" w:ascii="仿宋" w:hAnsi="仿宋" w:eastAsia="仿宋"/>
          <w:color w:val="000000"/>
          <w:sz w:val="30"/>
          <w:szCs w:val="30"/>
        </w:rPr>
        <w:t>12.50</w:t>
      </w:r>
      <w:r>
        <w:rPr>
          <w:rFonts w:ascii="仿宋" w:hAnsi="仿宋" w:eastAsia="仿宋"/>
          <w:color w:val="000000"/>
          <w:sz w:val="30"/>
          <w:szCs w:val="30"/>
        </w:rPr>
        <w:t>分。指标的得分情况如表所示</w:t>
      </w:r>
      <w:r>
        <w:rPr>
          <w:rFonts w:hint="eastAsia" w:ascii="仿宋" w:hAnsi="仿宋" w:eastAsia="仿宋" w:cs="宋体"/>
          <w:color w:val="000000"/>
          <w:sz w:val="30"/>
          <w:szCs w:val="30"/>
        </w:rPr>
        <w:t>：</w:t>
      </w:r>
    </w:p>
    <w:p>
      <w:pPr>
        <w:autoSpaceDE w:val="0"/>
        <w:autoSpaceDN w:val="0"/>
        <w:adjustRightInd w:val="0"/>
        <w:jc w:val="center"/>
        <w:rPr>
          <w:rFonts w:ascii="仿宋" w:hAnsi="仿宋" w:eastAsia="仿宋" w:cs="宋体"/>
          <w:kern w:val="0"/>
          <w:sz w:val="24"/>
        </w:rPr>
      </w:pPr>
      <w:r>
        <w:rPr>
          <w:rFonts w:hint="eastAsia" w:ascii="仿宋" w:hAnsi="仿宋" w:eastAsia="仿宋" w:cs="宋体"/>
          <w:kern w:val="0"/>
          <w:sz w:val="24"/>
        </w:rPr>
        <w:t>过程类指标评分表</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736"/>
        <w:gridCol w:w="1233"/>
        <w:gridCol w:w="784"/>
        <w:gridCol w:w="3050"/>
        <w:gridCol w:w="716"/>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217" w:type="dxa"/>
            <w:vAlign w:val="center"/>
          </w:tcPr>
          <w:p>
            <w:pPr>
              <w:jc w:val="center"/>
              <w:rPr>
                <w:rFonts w:ascii="仿宋" w:hAnsi="仿宋" w:eastAsia="仿宋"/>
                <w:bCs/>
                <w:szCs w:val="21"/>
              </w:rPr>
            </w:pPr>
            <w:r>
              <w:rPr>
                <w:rFonts w:hint="eastAsia" w:ascii="仿宋" w:hAnsi="仿宋" w:eastAsia="仿宋"/>
                <w:bCs/>
                <w:szCs w:val="21"/>
              </w:rPr>
              <w:t>一级指标</w:t>
            </w:r>
          </w:p>
        </w:tc>
        <w:tc>
          <w:tcPr>
            <w:tcW w:w="736" w:type="dxa"/>
            <w:vAlign w:val="center"/>
          </w:tcPr>
          <w:p>
            <w:pPr>
              <w:jc w:val="center"/>
              <w:rPr>
                <w:rFonts w:ascii="仿宋" w:hAnsi="仿宋" w:eastAsia="仿宋"/>
                <w:bCs/>
                <w:szCs w:val="21"/>
              </w:rPr>
            </w:pPr>
            <w:r>
              <w:rPr>
                <w:rFonts w:hint="eastAsia" w:ascii="仿宋" w:hAnsi="仿宋" w:eastAsia="仿宋"/>
                <w:bCs/>
                <w:szCs w:val="21"/>
              </w:rPr>
              <w:t>分值</w:t>
            </w:r>
          </w:p>
        </w:tc>
        <w:tc>
          <w:tcPr>
            <w:tcW w:w="1233" w:type="dxa"/>
            <w:vAlign w:val="center"/>
          </w:tcPr>
          <w:p>
            <w:pPr>
              <w:jc w:val="center"/>
              <w:rPr>
                <w:rFonts w:ascii="仿宋" w:hAnsi="仿宋" w:eastAsia="仿宋"/>
                <w:bCs/>
                <w:szCs w:val="21"/>
              </w:rPr>
            </w:pPr>
            <w:r>
              <w:rPr>
                <w:rFonts w:hint="eastAsia" w:ascii="仿宋" w:hAnsi="仿宋" w:eastAsia="仿宋"/>
                <w:bCs/>
                <w:szCs w:val="21"/>
              </w:rPr>
              <w:t>二级指标</w:t>
            </w:r>
          </w:p>
        </w:tc>
        <w:tc>
          <w:tcPr>
            <w:tcW w:w="784" w:type="dxa"/>
            <w:vAlign w:val="center"/>
          </w:tcPr>
          <w:p>
            <w:pPr>
              <w:jc w:val="center"/>
              <w:rPr>
                <w:rFonts w:ascii="仿宋" w:hAnsi="仿宋" w:eastAsia="仿宋"/>
                <w:bCs/>
                <w:szCs w:val="21"/>
              </w:rPr>
            </w:pPr>
            <w:r>
              <w:rPr>
                <w:rFonts w:hint="eastAsia" w:ascii="仿宋" w:hAnsi="仿宋" w:eastAsia="仿宋"/>
                <w:bCs/>
                <w:szCs w:val="21"/>
              </w:rPr>
              <w:t>分值</w:t>
            </w:r>
          </w:p>
        </w:tc>
        <w:tc>
          <w:tcPr>
            <w:tcW w:w="3050" w:type="dxa"/>
            <w:vAlign w:val="center"/>
          </w:tcPr>
          <w:p>
            <w:pPr>
              <w:jc w:val="center"/>
              <w:rPr>
                <w:rFonts w:ascii="仿宋" w:hAnsi="仿宋" w:eastAsia="仿宋"/>
                <w:bCs/>
                <w:szCs w:val="21"/>
              </w:rPr>
            </w:pPr>
            <w:r>
              <w:rPr>
                <w:rFonts w:hint="eastAsia" w:ascii="仿宋" w:hAnsi="仿宋" w:eastAsia="仿宋"/>
                <w:bCs/>
                <w:szCs w:val="21"/>
              </w:rPr>
              <w:t>三级指标</w:t>
            </w:r>
          </w:p>
        </w:tc>
        <w:tc>
          <w:tcPr>
            <w:tcW w:w="716" w:type="dxa"/>
            <w:vAlign w:val="center"/>
          </w:tcPr>
          <w:p>
            <w:pPr>
              <w:jc w:val="center"/>
              <w:rPr>
                <w:rFonts w:ascii="仿宋" w:hAnsi="仿宋" w:eastAsia="仿宋"/>
                <w:bCs/>
                <w:szCs w:val="21"/>
              </w:rPr>
            </w:pPr>
            <w:r>
              <w:rPr>
                <w:rFonts w:hint="eastAsia" w:ascii="仿宋" w:hAnsi="仿宋" w:eastAsia="仿宋"/>
                <w:bCs/>
                <w:szCs w:val="21"/>
              </w:rPr>
              <w:t>分值</w:t>
            </w:r>
          </w:p>
        </w:tc>
        <w:tc>
          <w:tcPr>
            <w:tcW w:w="786" w:type="dxa"/>
            <w:vAlign w:val="center"/>
          </w:tcPr>
          <w:p>
            <w:pPr>
              <w:jc w:val="center"/>
              <w:rPr>
                <w:rFonts w:ascii="仿宋" w:hAnsi="仿宋" w:eastAsia="仿宋"/>
                <w:bCs/>
                <w:szCs w:val="21"/>
              </w:rPr>
            </w:pPr>
            <w:r>
              <w:rPr>
                <w:rFonts w:hint="eastAsia" w:ascii="仿宋" w:hAnsi="仿宋" w:eastAsia="仿宋"/>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restart"/>
            <w:vAlign w:val="center"/>
          </w:tcPr>
          <w:p>
            <w:pPr>
              <w:rPr>
                <w:rFonts w:ascii="仿宋" w:hAnsi="仿宋" w:eastAsia="仿宋"/>
                <w:szCs w:val="21"/>
              </w:rPr>
            </w:pPr>
            <w:r>
              <w:rPr>
                <w:rFonts w:hint="eastAsia" w:ascii="仿宋" w:hAnsi="仿宋" w:eastAsia="仿宋"/>
                <w:szCs w:val="21"/>
              </w:rPr>
              <w:t>过程</w:t>
            </w:r>
          </w:p>
        </w:tc>
        <w:tc>
          <w:tcPr>
            <w:tcW w:w="736" w:type="dxa"/>
            <w:vMerge w:val="restart"/>
            <w:vAlign w:val="center"/>
          </w:tcPr>
          <w:p>
            <w:pPr>
              <w:jc w:val="center"/>
              <w:rPr>
                <w:rFonts w:ascii="仿宋" w:hAnsi="仿宋" w:eastAsia="仿宋"/>
                <w:szCs w:val="21"/>
              </w:rPr>
            </w:pPr>
            <w:r>
              <w:rPr>
                <w:rFonts w:hint="eastAsia" w:ascii="仿宋" w:hAnsi="仿宋" w:eastAsia="仿宋"/>
                <w:szCs w:val="21"/>
              </w:rPr>
              <w:t>15</w:t>
            </w:r>
          </w:p>
        </w:tc>
        <w:tc>
          <w:tcPr>
            <w:tcW w:w="1233" w:type="dxa"/>
            <w:vMerge w:val="restart"/>
            <w:vAlign w:val="center"/>
          </w:tcPr>
          <w:p>
            <w:pPr>
              <w:rPr>
                <w:rFonts w:ascii="仿宋" w:hAnsi="仿宋" w:eastAsia="仿宋"/>
                <w:szCs w:val="21"/>
              </w:rPr>
            </w:pPr>
            <w:r>
              <w:rPr>
                <w:rFonts w:hint="eastAsia" w:ascii="仿宋" w:hAnsi="仿宋" w:eastAsia="仿宋"/>
                <w:szCs w:val="21"/>
              </w:rPr>
              <w:t>资金管理</w:t>
            </w:r>
          </w:p>
        </w:tc>
        <w:tc>
          <w:tcPr>
            <w:tcW w:w="784" w:type="dxa"/>
            <w:vMerge w:val="restart"/>
            <w:vAlign w:val="center"/>
          </w:tcPr>
          <w:p>
            <w:pPr>
              <w:jc w:val="center"/>
              <w:rPr>
                <w:rFonts w:ascii="仿宋" w:hAnsi="仿宋" w:eastAsia="仿宋"/>
                <w:szCs w:val="21"/>
              </w:rPr>
            </w:pPr>
            <w:r>
              <w:rPr>
                <w:rFonts w:hint="eastAsia" w:ascii="仿宋" w:hAnsi="仿宋" w:eastAsia="仿宋"/>
                <w:szCs w:val="21"/>
              </w:rPr>
              <w:t>8</w:t>
            </w:r>
          </w:p>
        </w:tc>
        <w:tc>
          <w:tcPr>
            <w:tcW w:w="3050" w:type="dxa"/>
            <w:vAlign w:val="center"/>
          </w:tcPr>
          <w:p>
            <w:pPr>
              <w:rPr>
                <w:rFonts w:ascii="仿宋" w:hAnsi="仿宋" w:eastAsia="仿宋"/>
                <w:szCs w:val="21"/>
              </w:rPr>
            </w:pPr>
            <w:r>
              <w:rPr>
                <w:rFonts w:hint="eastAsia" w:ascii="仿宋" w:hAnsi="仿宋" w:eastAsia="仿宋"/>
                <w:szCs w:val="21"/>
              </w:rPr>
              <w:t>财务管理制度健全性</w:t>
            </w:r>
          </w:p>
        </w:tc>
        <w:tc>
          <w:tcPr>
            <w:tcW w:w="716" w:type="dxa"/>
            <w:vAlign w:val="center"/>
          </w:tcPr>
          <w:p>
            <w:pPr>
              <w:jc w:val="center"/>
              <w:rPr>
                <w:rFonts w:ascii="仿宋" w:hAnsi="仿宋" w:eastAsia="仿宋"/>
                <w:szCs w:val="21"/>
              </w:rPr>
            </w:pPr>
            <w:r>
              <w:rPr>
                <w:rFonts w:hint="eastAsia" w:ascii="仿宋" w:hAnsi="仿宋" w:eastAsia="仿宋"/>
                <w:szCs w:val="21"/>
              </w:rPr>
              <w:t>2</w:t>
            </w:r>
          </w:p>
        </w:tc>
        <w:tc>
          <w:tcPr>
            <w:tcW w:w="786" w:type="dxa"/>
            <w:vAlign w:val="center"/>
          </w:tcPr>
          <w:p>
            <w:pPr>
              <w:jc w:val="center"/>
              <w:rPr>
                <w:rFonts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rPr>
                <w:rFonts w:ascii="仿宋" w:hAnsi="仿宋" w:eastAsia="仿宋"/>
                <w:szCs w:val="21"/>
              </w:rPr>
            </w:pPr>
          </w:p>
        </w:tc>
        <w:tc>
          <w:tcPr>
            <w:tcW w:w="736" w:type="dxa"/>
            <w:vMerge w:val="continue"/>
          </w:tcPr>
          <w:p>
            <w:pPr>
              <w:rPr>
                <w:rFonts w:ascii="仿宋" w:hAnsi="仿宋" w:eastAsia="仿宋"/>
                <w:szCs w:val="21"/>
              </w:rPr>
            </w:pPr>
          </w:p>
        </w:tc>
        <w:tc>
          <w:tcPr>
            <w:tcW w:w="1233" w:type="dxa"/>
            <w:vMerge w:val="continue"/>
          </w:tcPr>
          <w:p>
            <w:pPr>
              <w:rPr>
                <w:rFonts w:ascii="仿宋" w:hAnsi="仿宋" w:eastAsia="仿宋"/>
                <w:szCs w:val="21"/>
              </w:rPr>
            </w:pPr>
          </w:p>
        </w:tc>
        <w:tc>
          <w:tcPr>
            <w:tcW w:w="784" w:type="dxa"/>
            <w:vMerge w:val="continue"/>
          </w:tcPr>
          <w:p>
            <w:pPr>
              <w:jc w:val="center"/>
              <w:rPr>
                <w:rFonts w:ascii="仿宋" w:hAnsi="仿宋" w:eastAsia="仿宋"/>
                <w:szCs w:val="21"/>
              </w:rPr>
            </w:pPr>
          </w:p>
        </w:tc>
        <w:tc>
          <w:tcPr>
            <w:tcW w:w="3050" w:type="dxa"/>
            <w:vAlign w:val="center"/>
          </w:tcPr>
          <w:p>
            <w:pPr>
              <w:rPr>
                <w:rFonts w:ascii="仿宋" w:hAnsi="仿宋" w:eastAsia="仿宋"/>
                <w:szCs w:val="21"/>
              </w:rPr>
            </w:pPr>
            <w:r>
              <w:rPr>
                <w:rFonts w:hint="eastAsia" w:ascii="仿宋" w:hAnsi="仿宋" w:eastAsia="仿宋"/>
                <w:szCs w:val="21"/>
              </w:rPr>
              <w:t>资金到位率</w:t>
            </w:r>
          </w:p>
        </w:tc>
        <w:tc>
          <w:tcPr>
            <w:tcW w:w="716" w:type="dxa"/>
            <w:vAlign w:val="center"/>
          </w:tcPr>
          <w:p>
            <w:pPr>
              <w:jc w:val="center"/>
              <w:rPr>
                <w:rFonts w:ascii="仿宋" w:hAnsi="仿宋" w:eastAsia="仿宋"/>
                <w:szCs w:val="21"/>
              </w:rPr>
            </w:pPr>
            <w:r>
              <w:rPr>
                <w:rFonts w:hint="eastAsia" w:ascii="仿宋" w:hAnsi="仿宋" w:eastAsia="仿宋"/>
                <w:szCs w:val="21"/>
              </w:rPr>
              <w:t>2</w:t>
            </w:r>
          </w:p>
        </w:tc>
        <w:tc>
          <w:tcPr>
            <w:tcW w:w="786" w:type="dxa"/>
            <w:vAlign w:val="center"/>
          </w:tcPr>
          <w:p>
            <w:pPr>
              <w:jc w:val="center"/>
              <w:rPr>
                <w:rFonts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rPr>
                <w:rFonts w:ascii="仿宋" w:hAnsi="仿宋" w:eastAsia="仿宋"/>
                <w:szCs w:val="21"/>
              </w:rPr>
            </w:pPr>
          </w:p>
        </w:tc>
        <w:tc>
          <w:tcPr>
            <w:tcW w:w="736" w:type="dxa"/>
            <w:vMerge w:val="continue"/>
          </w:tcPr>
          <w:p>
            <w:pPr>
              <w:rPr>
                <w:rFonts w:ascii="仿宋" w:hAnsi="仿宋" w:eastAsia="仿宋"/>
                <w:szCs w:val="21"/>
              </w:rPr>
            </w:pPr>
          </w:p>
        </w:tc>
        <w:tc>
          <w:tcPr>
            <w:tcW w:w="1233" w:type="dxa"/>
            <w:vMerge w:val="continue"/>
          </w:tcPr>
          <w:p>
            <w:pPr>
              <w:rPr>
                <w:rFonts w:ascii="仿宋" w:hAnsi="仿宋" w:eastAsia="仿宋"/>
                <w:szCs w:val="21"/>
              </w:rPr>
            </w:pPr>
          </w:p>
        </w:tc>
        <w:tc>
          <w:tcPr>
            <w:tcW w:w="784" w:type="dxa"/>
            <w:vMerge w:val="continue"/>
          </w:tcPr>
          <w:p>
            <w:pPr>
              <w:jc w:val="center"/>
              <w:rPr>
                <w:rFonts w:ascii="仿宋" w:hAnsi="仿宋" w:eastAsia="仿宋"/>
                <w:szCs w:val="21"/>
              </w:rPr>
            </w:pPr>
          </w:p>
        </w:tc>
        <w:tc>
          <w:tcPr>
            <w:tcW w:w="3050" w:type="dxa"/>
            <w:vAlign w:val="center"/>
          </w:tcPr>
          <w:p>
            <w:pPr>
              <w:rPr>
                <w:rFonts w:ascii="仿宋" w:hAnsi="仿宋" w:eastAsia="仿宋"/>
                <w:szCs w:val="21"/>
              </w:rPr>
            </w:pPr>
            <w:r>
              <w:rPr>
                <w:rFonts w:hint="eastAsia" w:ascii="仿宋" w:hAnsi="仿宋" w:eastAsia="仿宋"/>
                <w:szCs w:val="21"/>
              </w:rPr>
              <w:t>预算执行率</w:t>
            </w:r>
          </w:p>
        </w:tc>
        <w:tc>
          <w:tcPr>
            <w:tcW w:w="716" w:type="dxa"/>
            <w:vAlign w:val="center"/>
          </w:tcPr>
          <w:p>
            <w:pPr>
              <w:jc w:val="center"/>
              <w:rPr>
                <w:rFonts w:ascii="仿宋" w:hAnsi="仿宋" w:eastAsia="仿宋"/>
                <w:szCs w:val="21"/>
              </w:rPr>
            </w:pPr>
            <w:r>
              <w:rPr>
                <w:rFonts w:hint="eastAsia" w:ascii="仿宋" w:hAnsi="仿宋" w:eastAsia="仿宋"/>
                <w:szCs w:val="21"/>
              </w:rPr>
              <w:t>2</w:t>
            </w:r>
          </w:p>
        </w:tc>
        <w:tc>
          <w:tcPr>
            <w:tcW w:w="786" w:type="dxa"/>
            <w:vAlign w:val="center"/>
          </w:tcPr>
          <w:p>
            <w:pPr>
              <w:jc w:val="center"/>
              <w:rPr>
                <w:rFonts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rPr>
                <w:rFonts w:ascii="仿宋" w:hAnsi="仿宋" w:eastAsia="仿宋"/>
                <w:szCs w:val="21"/>
              </w:rPr>
            </w:pPr>
          </w:p>
        </w:tc>
        <w:tc>
          <w:tcPr>
            <w:tcW w:w="736" w:type="dxa"/>
            <w:vMerge w:val="continue"/>
          </w:tcPr>
          <w:p>
            <w:pPr>
              <w:rPr>
                <w:rFonts w:ascii="仿宋" w:hAnsi="仿宋" w:eastAsia="仿宋"/>
                <w:szCs w:val="21"/>
              </w:rPr>
            </w:pPr>
          </w:p>
        </w:tc>
        <w:tc>
          <w:tcPr>
            <w:tcW w:w="1233" w:type="dxa"/>
            <w:vMerge w:val="continue"/>
          </w:tcPr>
          <w:p>
            <w:pPr>
              <w:rPr>
                <w:rFonts w:ascii="仿宋" w:hAnsi="仿宋" w:eastAsia="仿宋"/>
                <w:szCs w:val="21"/>
              </w:rPr>
            </w:pPr>
          </w:p>
        </w:tc>
        <w:tc>
          <w:tcPr>
            <w:tcW w:w="784" w:type="dxa"/>
            <w:vMerge w:val="continue"/>
          </w:tcPr>
          <w:p>
            <w:pPr>
              <w:jc w:val="center"/>
              <w:rPr>
                <w:rFonts w:ascii="仿宋" w:hAnsi="仿宋" w:eastAsia="仿宋"/>
                <w:szCs w:val="21"/>
              </w:rPr>
            </w:pPr>
          </w:p>
        </w:tc>
        <w:tc>
          <w:tcPr>
            <w:tcW w:w="3050" w:type="dxa"/>
            <w:vAlign w:val="center"/>
          </w:tcPr>
          <w:p>
            <w:pPr>
              <w:rPr>
                <w:rFonts w:ascii="仿宋" w:hAnsi="仿宋" w:eastAsia="仿宋"/>
                <w:szCs w:val="21"/>
              </w:rPr>
            </w:pPr>
            <w:r>
              <w:rPr>
                <w:rFonts w:hint="eastAsia" w:ascii="仿宋" w:hAnsi="仿宋" w:eastAsia="仿宋"/>
                <w:szCs w:val="21"/>
              </w:rPr>
              <w:t>资金使用合规性</w:t>
            </w:r>
          </w:p>
        </w:tc>
        <w:tc>
          <w:tcPr>
            <w:tcW w:w="716" w:type="dxa"/>
            <w:vAlign w:val="center"/>
          </w:tcPr>
          <w:p>
            <w:pPr>
              <w:jc w:val="center"/>
              <w:rPr>
                <w:rFonts w:ascii="仿宋" w:hAnsi="仿宋" w:eastAsia="仿宋"/>
                <w:szCs w:val="21"/>
              </w:rPr>
            </w:pPr>
            <w:r>
              <w:rPr>
                <w:rFonts w:hint="eastAsia" w:ascii="仿宋" w:hAnsi="仿宋" w:eastAsia="仿宋"/>
                <w:szCs w:val="21"/>
              </w:rPr>
              <w:t>2</w:t>
            </w:r>
          </w:p>
        </w:tc>
        <w:tc>
          <w:tcPr>
            <w:tcW w:w="786" w:type="dxa"/>
            <w:vAlign w:val="center"/>
          </w:tcPr>
          <w:p>
            <w:pPr>
              <w:jc w:val="center"/>
              <w:rPr>
                <w:rFonts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rPr>
                <w:rFonts w:ascii="仿宋" w:hAnsi="仿宋" w:eastAsia="仿宋"/>
                <w:szCs w:val="21"/>
              </w:rPr>
            </w:pPr>
          </w:p>
        </w:tc>
        <w:tc>
          <w:tcPr>
            <w:tcW w:w="736" w:type="dxa"/>
            <w:vMerge w:val="continue"/>
          </w:tcPr>
          <w:p>
            <w:pPr>
              <w:rPr>
                <w:rFonts w:ascii="仿宋" w:hAnsi="仿宋" w:eastAsia="仿宋"/>
                <w:szCs w:val="21"/>
              </w:rPr>
            </w:pPr>
          </w:p>
        </w:tc>
        <w:tc>
          <w:tcPr>
            <w:tcW w:w="1233" w:type="dxa"/>
            <w:vMerge w:val="restart"/>
            <w:vAlign w:val="center"/>
          </w:tcPr>
          <w:p>
            <w:pPr>
              <w:rPr>
                <w:rFonts w:ascii="仿宋" w:hAnsi="仿宋" w:eastAsia="仿宋"/>
                <w:szCs w:val="21"/>
              </w:rPr>
            </w:pPr>
            <w:r>
              <w:rPr>
                <w:rFonts w:hint="eastAsia" w:ascii="仿宋" w:hAnsi="仿宋" w:eastAsia="仿宋"/>
                <w:szCs w:val="21"/>
              </w:rPr>
              <w:t>组织实施</w:t>
            </w:r>
          </w:p>
        </w:tc>
        <w:tc>
          <w:tcPr>
            <w:tcW w:w="784" w:type="dxa"/>
            <w:vMerge w:val="restart"/>
            <w:vAlign w:val="center"/>
          </w:tcPr>
          <w:p>
            <w:pPr>
              <w:jc w:val="center"/>
              <w:rPr>
                <w:rFonts w:ascii="仿宋" w:hAnsi="仿宋" w:eastAsia="仿宋"/>
                <w:szCs w:val="21"/>
              </w:rPr>
            </w:pPr>
            <w:r>
              <w:rPr>
                <w:rFonts w:hint="eastAsia" w:ascii="仿宋" w:hAnsi="仿宋" w:eastAsia="仿宋"/>
                <w:szCs w:val="21"/>
              </w:rPr>
              <w:t>7</w:t>
            </w:r>
          </w:p>
        </w:tc>
        <w:tc>
          <w:tcPr>
            <w:tcW w:w="3050" w:type="dxa"/>
            <w:vAlign w:val="center"/>
          </w:tcPr>
          <w:p>
            <w:pPr>
              <w:rPr>
                <w:rFonts w:ascii="仿宋" w:hAnsi="仿宋" w:eastAsia="仿宋"/>
                <w:szCs w:val="21"/>
              </w:rPr>
            </w:pPr>
            <w:r>
              <w:rPr>
                <w:rFonts w:hint="eastAsia" w:ascii="仿宋" w:hAnsi="仿宋" w:eastAsia="仿宋"/>
                <w:szCs w:val="21"/>
              </w:rPr>
              <w:t>组织机构</w:t>
            </w:r>
          </w:p>
        </w:tc>
        <w:tc>
          <w:tcPr>
            <w:tcW w:w="716" w:type="dxa"/>
            <w:vAlign w:val="center"/>
          </w:tcPr>
          <w:p>
            <w:pPr>
              <w:jc w:val="center"/>
              <w:rPr>
                <w:rFonts w:ascii="仿宋" w:hAnsi="仿宋" w:eastAsia="仿宋"/>
                <w:szCs w:val="21"/>
              </w:rPr>
            </w:pPr>
            <w:r>
              <w:rPr>
                <w:rFonts w:hint="eastAsia" w:ascii="仿宋" w:hAnsi="仿宋" w:eastAsia="仿宋"/>
                <w:szCs w:val="21"/>
              </w:rPr>
              <w:t>1</w:t>
            </w:r>
          </w:p>
        </w:tc>
        <w:tc>
          <w:tcPr>
            <w:tcW w:w="786" w:type="dxa"/>
            <w:vAlign w:val="center"/>
          </w:tcPr>
          <w:p>
            <w:pPr>
              <w:jc w:val="center"/>
              <w:rPr>
                <w:rFonts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rPr>
                <w:rFonts w:ascii="仿宋" w:hAnsi="仿宋" w:eastAsia="仿宋"/>
                <w:szCs w:val="21"/>
              </w:rPr>
            </w:pPr>
          </w:p>
        </w:tc>
        <w:tc>
          <w:tcPr>
            <w:tcW w:w="736" w:type="dxa"/>
            <w:vMerge w:val="continue"/>
          </w:tcPr>
          <w:p>
            <w:pPr>
              <w:rPr>
                <w:rFonts w:ascii="仿宋" w:hAnsi="仿宋" w:eastAsia="仿宋"/>
                <w:szCs w:val="21"/>
              </w:rPr>
            </w:pPr>
          </w:p>
        </w:tc>
        <w:tc>
          <w:tcPr>
            <w:tcW w:w="1233" w:type="dxa"/>
            <w:vMerge w:val="continue"/>
            <w:vAlign w:val="center"/>
          </w:tcPr>
          <w:p>
            <w:pPr>
              <w:rPr>
                <w:rFonts w:ascii="仿宋" w:hAnsi="仿宋" w:eastAsia="仿宋"/>
                <w:szCs w:val="21"/>
              </w:rPr>
            </w:pPr>
          </w:p>
        </w:tc>
        <w:tc>
          <w:tcPr>
            <w:tcW w:w="784" w:type="dxa"/>
            <w:vMerge w:val="continue"/>
          </w:tcPr>
          <w:p>
            <w:pPr>
              <w:rPr>
                <w:rFonts w:ascii="仿宋" w:hAnsi="仿宋" w:eastAsia="仿宋"/>
                <w:szCs w:val="21"/>
              </w:rPr>
            </w:pPr>
          </w:p>
        </w:tc>
        <w:tc>
          <w:tcPr>
            <w:tcW w:w="3050" w:type="dxa"/>
            <w:vAlign w:val="center"/>
          </w:tcPr>
          <w:p>
            <w:pPr>
              <w:rPr>
                <w:rFonts w:ascii="仿宋" w:hAnsi="仿宋" w:eastAsia="仿宋"/>
                <w:szCs w:val="21"/>
              </w:rPr>
            </w:pPr>
            <w:r>
              <w:rPr>
                <w:rFonts w:hint="eastAsia" w:ascii="仿宋" w:hAnsi="仿宋" w:eastAsia="仿宋"/>
                <w:szCs w:val="21"/>
              </w:rPr>
              <w:t>绿化设计及执行</w:t>
            </w:r>
          </w:p>
        </w:tc>
        <w:tc>
          <w:tcPr>
            <w:tcW w:w="716" w:type="dxa"/>
            <w:vAlign w:val="center"/>
          </w:tcPr>
          <w:p>
            <w:pPr>
              <w:jc w:val="center"/>
              <w:rPr>
                <w:rFonts w:ascii="仿宋" w:hAnsi="仿宋" w:eastAsia="仿宋"/>
                <w:szCs w:val="21"/>
              </w:rPr>
            </w:pPr>
            <w:r>
              <w:rPr>
                <w:rFonts w:hint="eastAsia" w:ascii="仿宋" w:hAnsi="仿宋" w:eastAsia="仿宋"/>
                <w:szCs w:val="21"/>
              </w:rPr>
              <w:t>1</w:t>
            </w:r>
          </w:p>
        </w:tc>
        <w:tc>
          <w:tcPr>
            <w:tcW w:w="786" w:type="dxa"/>
            <w:vAlign w:val="center"/>
          </w:tcPr>
          <w:p>
            <w:pPr>
              <w:jc w:val="center"/>
              <w:rPr>
                <w:rFonts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rPr>
                <w:rFonts w:ascii="仿宋" w:hAnsi="仿宋" w:eastAsia="仿宋"/>
                <w:szCs w:val="21"/>
              </w:rPr>
            </w:pPr>
          </w:p>
        </w:tc>
        <w:tc>
          <w:tcPr>
            <w:tcW w:w="736" w:type="dxa"/>
            <w:vMerge w:val="continue"/>
          </w:tcPr>
          <w:p>
            <w:pPr>
              <w:rPr>
                <w:rFonts w:ascii="仿宋" w:hAnsi="仿宋" w:eastAsia="仿宋"/>
                <w:szCs w:val="21"/>
              </w:rPr>
            </w:pPr>
          </w:p>
        </w:tc>
        <w:tc>
          <w:tcPr>
            <w:tcW w:w="1233" w:type="dxa"/>
            <w:vMerge w:val="continue"/>
            <w:vAlign w:val="center"/>
          </w:tcPr>
          <w:p>
            <w:pPr>
              <w:rPr>
                <w:rFonts w:ascii="仿宋" w:hAnsi="仿宋" w:eastAsia="仿宋"/>
                <w:szCs w:val="21"/>
              </w:rPr>
            </w:pPr>
          </w:p>
        </w:tc>
        <w:tc>
          <w:tcPr>
            <w:tcW w:w="784" w:type="dxa"/>
            <w:vMerge w:val="continue"/>
          </w:tcPr>
          <w:p>
            <w:pPr>
              <w:rPr>
                <w:rFonts w:ascii="仿宋" w:hAnsi="仿宋" w:eastAsia="仿宋"/>
                <w:szCs w:val="21"/>
              </w:rPr>
            </w:pPr>
          </w:p>
        </w:tc>
        <w:tc>
          <w:tcPr>
            <w:tcW w:w="3050" w:type="dxa"/>
            <w:vAlign w:val="center"/>
          </w:tcPr>
          <w:p>
            <w:pPr>
              <w:rPr>
                <w:rFonts w:ascii="仿宋" w:hAnsi="仿宋" w:eastAsia="仿宋"/>
                <w:szCs w:val="21"/>
              </w:rPr>
            </w:pPr>
            <w:r>
              <w:rPr>
                <w:rFonts w:hint="eastAsia" w:ascii="仿宋" w:hAnsi="仿宋" w:eastAsia="仿宋"/>
                <w:szCs w:val="21"/>
              </w:rPr>
              <w:t>招投标管理制度及执行</w:t>
            </w:r>
          </w:p>
        </w:tc>
        <w:tc>
          <w:tcPr>
            <w:tcW w:w="716" w:type="dxa"/>
            <w:vAlign w:val="center"/>
          </w:tcPr>
          <w:p>
            <w:pPr>
              <w:jc w:val="center"/>
              <w:rPr>
                <w:rFonts w:ascii="仿宋" w:hAnsi="仿宋" w:eastAsia="仿宋"/>
                <w:szCs w:val="21"/>
              </w:rPr>
            </w:pPr>
            <w:r>
              <w:rPr>
                <w:rFonts w:hint="eastAsia" w:ascii="仿宋" w:hAnsi="仿宋" w:eastAsia="仿宋"/>
                <w:szCs w:val="21"/>
              </w:rPr>
              <w:t>1</w:t>
            </w:r>
          </w:p>
        </w:tc>
        <w:tc>
          <w:tcPr>
            <w:tcW w:w="786" w:type="dxa"/>
            <w:vAlign w:val="center"/>
          </w:tcPr>
          <w:p>
            <w:pPr>
              <w:jc w:val="center"/>
              <w:rPr>
                <w:rFonts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rPr>
                <w:rFonts w:ascii="仿宋" w:hAnsi="仿宋" w:eastAsia="仿宋"/>
                <w:szCs w:val="21"/>
              </w:rPr>
            </w:pPr>
          </w:p>
        </w:tc>
        <w:tc>
          <w:tcPr>
            <w:tcW w:w="736" w:type="dxa"/>
            <w:vMerge w:val="continue"/>
          </w:tcPr>
          <w:p>
            <w:pPr>
              <w:rPr>
                <w:rFonts w:ascii="仿宋" w:hAnsi="仿宋" w:eastAsia="仿宋"/>
                <w:szCs w:val="21"/>
              </w:rPr>
            </w:pPr>
          </w:p>
        </w:tc>
        <w:tc>
          <w:tcPr>
            <w:tcW w:w="1233" w:type="dxa"/>
            <w:vMerge w:val="continue"/>
          </w:tcPr>
          <w:p>
            <w:pPr>
              <w:rPr>
                <w:rFonts w:ascii="仿宋" w:hAnsi="仿宋" w:eastAsia="仿宋"/>
                <w:szCs w:val="21"/>
              </w:rPr>
            </w:pPr>
          </w:p>
        </w:tc>
        <w:tc>
          <w:tcPr>
            <w:tcW w:w="784" w:type="dxa"/>
            <w:vMerge w:val="continue"/>
          </w:tcPr>
          <w:p>
            <w:pPr>
              <w:rPr>
                <w:rFonts w:ascii="仿宋" w:hAnsi="仿宋" w:eastAsia="仿宋"/>
                <w:szCs w:val="21"/>
              </w:rPr>
            </w:pPr>
          </w:p>
        </w:tc>
        <w:tc>
          <w:tcPr>
            <w:tcW w:w="3050" w:type="dxa"/>
            <w:vAlign w:val="center"/>
          </w:tcPr>
          <w:p>
            <w:pPr>
              <w:rPr>
                <w:rFonts w:ascii="仿宋" w:hAnsi="仿宋" w:eastAsia="仿宋"/>
                <w:szCs w:val="21"/>
              </w:rPr>
            </w:pPr>
            <w:r>
              <w:rPr>
                <w:rFonts w:hint="eastAsia" w:ascii="仿宋" w:hAnsi="仿宋" w:eastAsia="仿宋"/>
                <w:szCs w:val="21"/>
              </w:rPr>
              <w:t>合同管理制度及执行</w:t>
            </w:r>
          </w:p>
        </w:tc>
        <w:tc>
          <w:tcPr>
            <w:tcW w:w="716" w:type="dxa"/>
            <w:vAlign w:val="center"/>
          </w:tcPr>
          <w:p>
            <w:pPr>
              <w:jc w:val="center"/>
              <w:rPr>
                <w:rFonts w:ascii="仿宋" w:hAnsi="仿宋" w:eastAsia="仿宋"/>
                <w:szCs w:val="21"/>
              </w:rPr>
            </w:pPr>
            <w:r>
              <w:rPr>
                <w:rFonts w:hint="eastAsia" w:ascii="仿宋" w:hAnsi="仿宋" w:eastAsia="仿宋"/>
                <w:szCs w:val="21"/>
              </w:rPr>
              <w:t>1</w:t>
            </w:r>
          </w:p>
        </w:tc>
        <w:tc>
          <w:tcPr>
            <w:tcW w:w="786" w:type="dxa"/>
            <w:vAlign w:val="center"/>
          </w:tcPr>
          <w:p>
            <w:pPr>
              <w:jc w:val="center"/>
              <w:rPr>
                <w:rFonts w:ascii="仿宋" w:hAnsi="仿宋" w:eastAsia="仿宋"/>
                <w:szCs w:val="21"/>
              </w:rPr>
            </w:pPr>
            <w:r>
              <w:rPr>
                <w:rFonts w:hint="eastAsia" w:ascii="仿宋" w:hAnsi="仿宋" w:eastAsia="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rPr>
                <w:rFonts w:ascii="仿宋" w:hAnsi="仿宋" w:eastAsia="仿宋"/>
                <w:szCs w:val="21"/>
              </w:rPr>
            </w:pPr>
          </w:p>
        </w:tc>
        <w:tc>
          <w:tcPr>
            <w:tcW w:w="736" w:type="dxa"/>
            <w:vMerge w:val="continue"/>
          </w:tcPr>
          <w:p>
            <w:pPr>
              <w:rPr>
                <w:rFonts w:ascii="仿宋" w:hAnsi="仿宋" w:eastAsia="仿宋"/>
                <w:szCs w:val="21"/>
              </w:rPr>
            </w:pPr>
          </w:p>
        </w:tc>
        <w:tc>
          <w:tcPr>
            <w:tcW w:w="1233" w:type="dxa"/>
            <w:vMerge w:val="continue"/>
          </w:tcPr>
          <w:p>
            <w:pPr>
              <w:rPr>
                <w:rFonts w:ascii="仿宋" w:hAnsi="仿宋" w:eastAsia="仿宋"/>
                <w:szCs w:val="21"/>
              </w:rPr>
            </w:pPr>
          </w:p>
        </w:tc>
        <w:tc>
          <w:tcPr>
            <w:tcW w:w="784" w:type="dxa"/>
            <w:vMerge w:val="continue"/>
          </w:tcPr>
          <w:p>
            <w:pPr>
              <w:rPr>
                <w:rFonts w:ascii="仿宋" w:hAnsi="仿宋" w:eastAsia="仿宋"/>
                <w:szCs w:val="21"/>
              </w:rPr>
            </w:pPr>
          </w:p>
        </w:tc>
        <w:tc>
          <w:tcPr>
            <w:tcW w:w="3050" w:type="dxa"/>
            <w:vAlign w:val="center"/>
          </w:tcPr>
          <w:p>
            <w:pPr>
              <w:rPr>
                <w:rFonts w:ascii="仿宋" w:hAnsi="仿宋" w:eastAsia="仿宋"/>
                <w:szCs w:val="21"/>
              </w:rPr>
            </w:pPr>
            <w:r>
              <w:rPr>
                <w:rFonts w:hint="eastAsia" w:ascii="仿宋" w:hAnsi="仿宋" w:eastAsia="仿宋"/>
                <w:szCs w:val="21"/>
              </w:rPr>
              <w:t>工程监理制度及执行</w:t>
            </w:r>
          </w:p>
        </w:tc>
        <w:tc>
          <w:tcPr>
            <w:tcW w:w="716" w:type="dxa"/>
            <w:vAlign w:val="center"/>
          </w:tcPr>
          <w:p>
            <w:pPr>
              <w:jc w:val="center"/>
              <w:rPr>
                <w:rFonts w:ascii="仿宋" w:hAnsi="仿宋" w:eastAsia="仿宋"/>
                <w:szCs w:val="21"/>
              </w:rPr>
            </w:pPr>
            <w:r>
              <w:rPr>
                <w:rFonts w:hint="eastAsia" w:ascii="仿宋" w:hAnsi="仿宋" w:eastAsia="仿宋"/>
                <w:szCs w:val="21"/>
              </w:rPr>
              <w:t>1</w:t>
            </w:r>
          </w:p>
        </w:tc>
        <w:tc>
          <w:tcPr>
            <w:tcW w:w="786" w:type="dxa"/>
            <w:vAlign w:val="center"/>
          </w:tcPr>
          <w:p>
            <w:pPr>
              <w:jc w:val="center"/>
              <w:rPr>
                <w:rFonts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rPr>
                <w:rFonts w:ascii="仿宋" w:hAnsi="仿宋" w:eastAsia="仿宋"/>
                <w:szCs w:val="21"/>
              </w:rPr>
            </w:pPr>
          </w:p>
        </w:tc>
        <w:tc>
          <w:tcPr>
            <w:tcW w:w="736" w:type="dxa"/>
            <w:vMerge w:val="continue"/>
          </w:tcPr>
          <w:p>
            <w:pPr>
              <w:rPr>
                <w:rFonts w:ascii="仿宋" w:hAnsi="仿宋" w:eastAsia="仿宋"/>
                <w:szCs w:val="21"/>
              </w:rPr>
            </w:pPr>
          </w:p>
        </w:tc>
        <w:tc>
          <w:tcPr>
            <w:tcW w:w="1233" w:type="dxa"/>
            <w:vMerge w:val="continue"/>
          </w:tcPr>
          <w:p>
            <w:pPr>
              <w:rPr>
                <w:rFonts w:ascii="仿宋" w:hAnsi="仿宋" w:eastAsia="仿宋"/>
                <w:szCs w:val="21"/>
              </w:rPr>
            </w:pPr>
          </w:p>
        </w:tc>
        <w:tc>
          <w:tcPr>
            <w:tcW w:w="784" w:type="dxa"/>
            <w:vMerge w:val="continue"/>
          </w:tcPr>
          <w:p>
            <w:pPr>
              <w:rPr>
                <w:rFonts w:ascii="仿宋" w:hAnsi="仿宋" w:eastAsia="仿宋"/>
                <w:szCs w:val="21"/>
              </w:rPr>
            </w:pPr>
          </w:p>
        </w:tc>
        <w:tc>
          <w:tcPr>
            <w:tcW w:w="3050" w:type="dxa"/>
            <w:vAlign w:val="center"/>
          </w:tcPr>
          <w:p>
            <w:pPr>
              <w:rPr>
                <w:rFonts w:ascii="仿宋" w:hAnsi="仿宋" w:eastAsia="仿宋"/>
                <w:szCs w:val="21"/>
              </w:rPr>
            </w:pPr>
            <w:r>
              <w:rPr>
                <w:rFonts w:hint="eastAsia" w:ascii="仿宋" w:hAnsi="仿宋" w:eastAsia="仿宋"/>
                <w:szCs w:val="21"/>
              </w:rPr>
              <w:t>项目变更情况</w:t>
            </w:r>
          </w:p>
        </w:tc>
        <w:tc>
          <w:tcPr>
            <w:tcW w:w="716" w:type="dxa"/>
            <w:vAlign w:val="center"/>
          </w:tcPr>
          <w:p>
            <w:pPr>
              <w:jc w:val="center"/>
              <w:rPr>
                <w:rFonts w:ascii="仿宋" w:hAnsi="仿宋" w:eastAsia="仿宋"/>
                <w:szCs w:val="21"/>
              </w:rPr>
            </w:pPr>
            <w:r>
              <w:rPr>
                <w:rFonts w:hint="eastAsia" w:ascii="仿宋" w:hAnsi="仿宋" w:eastAsia="仿宋"/>
                <w:szCs w:val="21"/>
              </w:rPr>
              <w:t>1</w:t>
            </w:r>
          </w:p>
        </w:tc>
        <w:tc>
          <w:tcPr>
            <w:tcW w:w="786" w:type="dxa"/>
            <w:vAlign w:val="center"/>
          </w:tcPr>
          <w:p>
            <w:pPr>
              <w:jc w:val="center"/>
              <w:rPr>
                <w:rFonts w:ascii="仿宋" w:hAnsi="仿宋" w:eastAsia="仿宋"/>
                <w:szCs w:val="21"/>
              </w:rPr>
            </w:pPr>
            <w:r>
              <w:rPr>
                <w:rFonts w:hint="eastAsia" w:ascii="仿宋" w:hAnsi="仿宋" w:eastAsia="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rPr>
                <w:rFonts w:ascii="Calibri" w:hAnsi="Calibri"/>
              </w:rPr>
            </w:pPr>
          </w:p>
        </w:tc>
        <w:tc>
          <w:tcPr>
            <w:tcW w:w="736" w:type="dxa"/>
            <w:vMerge w:val="continue"/>
          </w:tcPr>
          <w:p>
            <w:pPr>
              <w:rPr>
                <w:rFonts w:ascii="Calibri" w:hAnsi="Calibri"/>
              </w:rPr>
            </w:pPr>
          </w:p>
        </w:tc>
        <w:tc>
          <w:tcPr>
            <w:tcW w:w="1233" w:type="dxa"/>
            <w:vMerge w:val="continue"/>
          </w:tcPr>
          <w:p>
            <w:pPr>
              <w:rPr>
                <w:rFonts w:ascii="Calibri" w:hAnsi="Calibri"/>
              </w:rPr>
            </w:pPr>
          </w:p>
        </w:tc>
        <w:tc>
          <w:tcPr>
            <w:tcW w:w="784" w:type="dxa"/>
            <w:vMerge w:val="continue"/>
          </w:tcPr>
          <w:p>
            <w:pPr>
              <w:rPr>
                <w:rFonts w:ascii="Calibri" w:hAnsi="Calibri"/>
              </w:rPr>
            </w:pPr>
          </w:p>
        </w:tc>
        <w:tc>
          <w:tcPr>
            <w:tcW w:w="3050" w:type="dxa"/>
            <w:vAlign w:val="center"/>
          </w:tcPr>
          <w:p>
            <w:pPr>
              <w:rPr>
                <w:rFonts w:ascii="仿宋" w:hAnsi="仿宋" w:eastAsia="仿宋"/>
              </w:rPr>
            </w:pPr>
            <w:r>
              <w:rPr>
                <w:rFonts w:hint="eastAsia" w:ascii="仿宋" w:hAnsi="仿宋" w:eastAsia="仿宋"/>
              </w:rPr>
              <w:t>档案管理制度及执行</w:t>
            </w:r>
          </w:p>
        </w:tc>
        <w:tc>
          <w:tcPr>
            <w:tcW w:w="716" w:type="dxa"/>
            <w:vAlign w:val="center"/>
          </w:tcPr>
          <w:p>
            <w:pPr>
              <w:jc w:val="center"/>
              <w:rPr>
                <w:rFonts w:ascii="仿宋" w:hAnsi="仿宋" w:eastAsia="仿宋"/>
              </w:rPr>
            </w:pPr>
            <w:r>
              <w:rPr>
                <w:rFonts w:hint="eastAsia" w:ascii="仿宋" w:hAnsi="仿宋" w:eastAsia="仿宋"/>
              </w:rPr>
              <w:t>1</w:t>
            </w:r>
          </w:p>
        </w:tc>
        <w:tc>
          <w:tcPr>
            <w:tcW w:w="786" w:type="dxa"/>
            <w:vAlign w:val="center"/>
          </w:tcPr>
          <w:p>
            <w:pPr>
              <w:jc w:val="center"/>
              <w:rPr>
                <w:rFonts w:ascii="仿宋" w:hAnsi="仿宋" w:eastAsia="仿宋"/>
              </w:rPr>
            </w:pPr>
            <w:r>
              <w:rPr>
                <w:rFonts w:hint="eastAsia" w:ascii="仿宋" w:hAnsi="仿宋" w:eastAsia="仿宋"/>
              </w:rPr>
              <w:t>0.5</w:t>
            </w:r>
          </w:p>
        </w:tc>
      </w:tr>
    </w:tbl>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资金管理指标衡量财务管理制度健全性，项目预算资金是否及时到位，资金的使用是否按计划执行，资金的使用是否符合相关的财务管理制度的要求，资金的拨付是否有完整的审批程序和手续等。</w:t>
      </w:r>
    </w:p>
    <w:p>
      <w:pPr>
        <w:tabs>
          <w:tab w:val="left" w:pos="1182"/>
        </w:tabs>
        <w:spacing w:line="6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组织实施指标衡量项目单位的业务管理制度是否健全，用以反映和考核业务管理制度对项目顺利实施的保障情况，以及相关制度的执行情况。</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（1）</w:t>
      </w:r>
      <w:r>
        <w:rPr>
          <w:rFonts w:hint="eastAsia" w:ascii="仿宋" w:hAnsi="仿宋" w:eastAsia="仿宋"/>
          <w:color w:val="000000"/>
          <w:sz w:val="30"/>
          <w:szCs w:val="30"/>
        </w:rPr>
        <w:t>资金管理</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项目单位对本项目实行专账核算，未制定相应的财务管理制度或专项资金管理办法。</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根据《运城市财政局关于拨付南山生态修复项目政府债券资金的通知》（运财资环〔2019〕3号），运城市财政局下达了南山生态修复荒滩绿化资金2000万元，项目资金全部到位。</w:t>
      </w:r>
    </w:p>
    <w:p>
      <w:pPr>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截止2020年8月31日，南山生态修复荒滩绿化项目收到2019年度财政资金</w:t>
      </w:r>
      <w:r>
        <w:rPr>
          <w:rFonts w:ascii="仿宋" w:hAnsi="仿宋" w:eastAsia="仿宋"/>
          <w:color w:val="000000"/>
          <w:sz w:val="30"/>
          <w:szCs w:val="30"/>
        </w:rPr>
        <w:t>20,000.000.00</w:t>
      </w:r>
      <w:r>
        <w:rPr>
          <w:rFonts w:hint="eastAsia" w:ascii="仿宋" w:hAnsi="仿宋" w:eastAsia="仿宋"/>
          <w:color w:val="000000"/>
          <w:sz w:val="30"/>
          <w:szCs w:val="30"/>
        </w:rPr>
        <w:t>元，支出18,087,620.44元，剩余资金1,912,379.56元尚未支出，预算执行较好。</w:t>
      </w:r>
    </w:p>
    <w:p>
      <w:pPr>
        <w:spacing w:line="6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项目支付符合财经法规和盐湖区林业局财务管理制度的规定；资金的拨付有完整的审批程序和手续；支付的资金符合项目预算批复或合同规定的用途；未发现截留、挤占、挪用、虚列支出等情况。</w:t>
      </w:r>
    </w:p>
    <w:p>
      <w:pPr>
        <w:spacing w:line="6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满分8分，得分7分。</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（2）组织实施</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为确保工作顺利开展，项目单位指定了专人负责项目的具体实施，机构健全、分工明确，能够保证整个项目组织管理流程的畅通。</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在工程建设中，项目单位严格落实了招投标制、工程监理制等制度，委托有资质的设计单位进行了设计，涉及变更的部分也按要求履行了变更程序。</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评价中发现，项目单位业务管理制度不够健全，如未明确制定合同管理制度、档案管理制度。</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满分7分，实际得分5.5分。</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4．</w:t>
      </w:r>
      <w:r>
        <w:rPr>
          <w:rFonts w:ascii="仿宋" w:hAnsi="仿宋" w:eastAsia="仿宋"/>
          <w:color w:val="000000"/>
          <w:sz w:val="30"/>
          <w:szCs w:val="30"/>
        </w:rPr>
        <w:t>产出</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产出指标从项目产出方面进行考察。产出类指标总分</w:t>
      </w:r>
      <w:r>
        <w:rPr>
          <w:rFonts w:hint="eastAsia" w:ascii="仿宋" w:hAnsi="仿宋" w:eastAsia="仿宋"/>
          <w:color w:val="000000"/>
          <w:sz w:val="30"/>
          <w:szCs w:val="30"/>
        </w:rPr>
        <w:t>35</w:t>
      </w:r>
      <w:r>
        <w:rPr>
          <w:rFonts w:ascii="仿宋" w:hAnsi="仿宋" w:eastAsia="仿宋"/>
          <w:color w:val="000000"/>
          <w:sz w:val="30"/>
          <w:szCs w:val="30"/>
        </w:rPr>
        <w:t>分</w:t>
      </w:r>
      <w:r>
        <w:rPr>
          <w:rFonts w:hint="eastAsia" w:ascii="仿宋" w:hAnsi="仿宋" w:eastAsia="仿宋" w:cs="宋体"/>
          <w:color w:val="000000"/>
          <w:sz w:val="30"/>
          <w:szCs w:val="30"/>
        </w:rPr>
        <w:t>，</w:t>
      </w:r>
      <w:r>
        <w:rPr>
          <w:rFonts w:ascii="仿宋" w:hAnsi="仿宋" w:eastAsia="仿宋"/>
          <w:color w:val="000000"/>
          <w:sz w:val="30"/>
          <w:szCs w:val="30"/>
        </w:rPr>
        <w:t>实际得分为</w:t>
      </w:r>
      <w:r>
        <w:rPr>
          <w:rFonts w:hint="eastAsia" w:ascii="仿宋" w:hAnsi="仿宋" w:eastAsia="仿宋"/>
          <w:color w:val="000000"/>
          <w:sz w:val="30"/>
          <w:szCs w:val="30"/>
        </w:rPr>
        <w:t>34</w:t>
      </w:r>
      <w:r>
        <w:rPr>
          <w:rFonts w:ascii="仿宋" w:hAnsi="仿宋" w:eastAsia="仿宋"/>
          <w:color w:val="000000"/>
          <w:sz w:val="30"/>
          <w:szCs w:val="30"/>
        </w:rPr>
        <w:t>分。产出指标的具体得分情况如表所示：</w:t>
      </w:r>
    </w:p>
    <w:p>
      <w:pPr>
        <w:autoSpaceDE w:val="0"/>
        <w:autoSpaceDN w:val="0"/>
        <w:adjustRightInd w:val="0"/>
        <w:jc w:val="center"/>
        <w:rPr>
          <w:rFonts w:ascii="仿宋" w:hAnsi="仿宋" w:eastAsia="仿宋" w:cs="宋体"/>
          <w:kern w:val="0"/>
          <w:sz w:val="24"/>
        </w:rPr>
      </w:pPr>
      <w:r>
        <w:rPr>
          <w:rFonts w:hint="eastAsia" w:ascii="仿宋" w:hAnsi="仿宋" w:eastAsia="仿宋" w:cs="宋体"/>
          <w:kern w:val="0"/>
          <w:sz w:val="24"/>
        </w:rPr>
        <w:t>产出类指标评分表</w:t>
      </w:r>
    </w:p>
    <w:tbl>
      <w:tblPr>
        <w:tblStyle w:val="14"/>
        <w:tblW w:w="8058"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720"/>
        <w:gridCol w:w="1260"/>
        <w:gridCol w:w="720"/>
        <w:gridCol w:w="2340"/>
        <w:gridCol w:w="90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Align w:val="center"/>
          </w:tcPr>
          <w:p>
            <w:pPr>
              <w:jc w:val="center"/>
              <w:rPr>
                <w:rFonts w:ascii="仿宋" w:hAnsi="仿宋" w:eastAsia="仿宋"/>
                <w:bCs/>
                <w:szCs w:val="21"/>
              </w:rPr>
            </w:pPr>
            <w:r>
              <w:rPr>
                <w:rFonts w:hint="eastAsia" w:ascii="仿宋" w:hAnsi="仿宋" w:eastAsia="仿宋"/>
                <w:bCs/>
                <w:szCs w:val="21"/>
              </w:rPr>
              <w:t>一级指标</w:t>
            </w:r>
          </w:p>
        </w:tc>
        <w:tc>
          <w:tcPr>
            <w:tcW w:w="720" w:type="dxa"/>
            <w:vAlign w:val="center"/>
          </w:tcPr>
          <w:p>
            <w:pPr>
              <w:jc w:val="center"/>
              <w:rPr>
                <w:rFonts w:ascii="仿宋" w:hAnsi="仿宋" w:eastAsia="仿宋"/>
                <w:bCs/>
                <w:szCs w:val="21"/>
              </w:rPr>
            </w:pPr>
            <w:r>
              <w:rPr>
                <w:rFonts w:hint="eastAsia" w:ascii="仿宋" w:hAnsi="仿宋" w:eastAsia="仿宋"/>
                <w:bCs/>
                <w:szCs w:val="21"/>
              </w:rPr>
              <w:t>分值</w:t>
            </w:r>
          </w:p>
        </w:tc>
        <w:tc>
          <w:tcPr>
            <w:tcW w:w="1260" w:type="dxa"/>
            <w:vAlign w:val="center"/>
          </w:tcPr>
          <w:p>
            <w:pPr>
              <w:jc w:val="center"/>
              <w:rPr>
                <w:rFonts w:ascii="仿宋" w:hAnsi="仿宋" w:eastAsia="仿宋"/>
                <w:bCs/>
                <w:szCs w:val="21"/>
              </w:rPr>
            </w:pPr>
            <w:r>
              <w:rPr>
                <w:rFonts w:hint="eastAsia" w:ascii="仿宋" w:hAnsi="仿宋" w:eastAsia="仿宋"/>
                <w:bCs/>
                <w:szCs w:val="21"/>
              </w:rPr>
              <w:t>二级指标</w:t>
            </w:r>
          </w:p>
        </w:tc>
        <w:tc>
          <w:tcPr>
            <w:tcW w:w="720" w:type="dxa"/>
            <w:vAlign w:val="center"/>
          </w:tcPr>
          <w:p>
            <w:pPr>
              <w:jc w:val="center"/>
              <w:rPr>
                <w:rFonts w:ascii="仿宋" w:hAnsi="仿宋" w:eastAsia="仿宋"/>
                <w:bCs/>
                <w:szCs w:val="21"/>
              </w:rPr>
            </w:pPr>
            <w:r>
              <w:rPr>
                <w:rFonts w:hint="eastAsia" w:ascii="仿宋" w:hAnsi="仿宋" w:eastAsia="仿宋"/>
                <w:bCs/>
                <w:szCs w:val="21"/>
              </w:rPr>
              <w:t>分值</w:t>
            </w:r>
          </w:p>
        </w:tc>
        <w:tc>
          <w:tcPr>
            <w:tcW w:w="2340" w:type="dxa"/>
            <w:vAlign w:val="center"/>
          </w:tcPr>
          <w:p>
            <w:pPr>
              <w:jc w:val="center"/>
              <w:rPr>
                <w:rFonts w:ascii="仿宋" w:hAnsi="仿宋" w:eastAsia="仿宋"/>
                <w:bCs/>
                <w:szCs w:val="21"/>
              </w:rPr>
            </w:pPr>
            <w:r>
              <w:rPr>
                <w:rFonts w:hint="eastAsia" w:ascii="仿宋" w:hAnsi="仿宋" w:eastAsia="仿宋"/>
                <w:bCs/>
                <w:szCs w:val="21"/>
              </w:rPr>
              <w:t>三级指标</w:t>
            </w:r>
          </w:p>
        </w:tc>
        <w:tc>
          <w:tcPr>
            <w:tcW w:w="900" w:type="dxa"/>
            <w:vAlign w:val="center"/>
          </w:tcPr>
          <w:p>
            <w:pPr>
              <w:jc w:val="center"/>
              <w:rPr>
                <w:rFonts w:ascii="仿宋" w:hAnsi="仿宋" w:eastAsia="仿宋"/>
                <w:bCs/>
                <w:szCs w:val="21"/>
              </w:rPr>
            </w:pPr>
            <w:r>
              <w:rPr>
                <w:rFonts w:hint="eastAsia" w:ascii="仿宋" w:hAnsi="仿宋" w:eastAsia="仿宋"/>
                <w:bCs/>
                <w:szCs w:val="21"/>
              </w:rPr>
              <w:t>分值</w:t>
            </w:r>
          </w:p>
        </w:tc>
        <w:tc>
          <w:tcPr>
            <w:tcW w:w="982" w:type="dxa"/>
            <w:vAlign w:val="center"/>
          </w:tcPr>
          <w:p>
            <w:pPr>
              <w:jc w:val="center"/>
              <w:rPr>
                <w:rFonts w:ascii="仿宋" w:hAnsi="仿宋" w:eastAsia="仿宋"/>
                <w:bCs/>
                <w:szCs w:val="21"/>
              </w:rPr>
            </w:pPr>
            <w:r>
              <w:rPr>
                <w:rFonts w:hint="eastAsia" w:ascii="仿宋" w:hAnsi="仿宋" w:eastAsia="仿宋"/>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tblHeader/>
        </w:trPr>
        <w:tc>
          <w:tcPr>
            <w:tcW w:w="1136" w:type="dxa"/>
            <w:vMerge w:val="restart"/>
            <w:vAlign w:val="center"/>
          </w:tcPr>
          <w:p>
            <w:pPr>
              <w:jc w:val="center"/>
              <w:rPr>
                <w:rFonts w:ascii="仿宋" w:hAnsi="仿宋" w:eastAsia="仿宋"/>
                <w:szCs w:val="21"/>
              </w:rPr>
            </w:pPr>
            <w:r>
              <w:rPr>
                <w:rFonts w:hint="eastAsia" w:ascii="仿宋" w:hAnsi="仿宋" w:eastAsia="仿宋"/>
                <w:szCs w:val="21"/>
              </w:rPr>
              <w:t>产出</w:t>
            </w:r>
          </w:p>
        </w:tc>
        <w:tc>
          <w:tcPr>
            <w:tcW w:w="720" w:type="dxa"/>
            <w:vMerge w:val="restart"/>
            <w:vAlign w:val="center"/>
          </w:tcPr>
          <w:p>
            <w:pPr>
              <w:jc w:val="center"/>
              <w:rPr>
                <w:rFonts w:ascii="仿宋" w:hAnsi="仿宋" w:eastAsia="仿宋"/>
                <w:szCs w:val="21"/>
              </w:rPr>
            </w:pPr>
            <w:r>
              <w:rPr>
                <w:rFonts w:hint="eastAsia" w:ascii="仿宋" w:hAnsi="仿宋" w:eastAsia="仿宋"/>
                <w:szCs w:val="21"/>
              </w:rPr>
              <w:t>35</w:t>
            </w:r>
          </w:p>
        </w:tc>
        <w:tc>
          <w:tcPr>
            <w:tcW w:w="1260" w:type="dxa"/>
            <w:vMerge w:val="restart"/>
            <w:vAlign w:val="center"/>
          </w:tcPr>
          <w:p>
            <w:pPr>
              <w:jc w:val="center"/>
              <w:rPr>
                <w:rFonts w:ascii="仿宋" w:hAnsi="仿宋" w:eastAsia="仿宋"/>
                <w:szCs w:val="21"/>
              </w:rPr>
            </w:pPr>
            <w:r>
              <w:rPr>
                <w:rFonts w:hint="eastAsia" w:ascii="仿宋" w:hAnsi="仿宋" w:eastAsia="仿宋"/>
                <w:szCs w:val="21"/>
              </w:rPr>
              <w:t>产出数量</w:t>
            </w:r>
          </w:p>
        </w:tc>
        <w:tc>
          <w:tcPr>
            <w:tcW w:w="720" w:type="dxa"/>
            <w:vMerge w:val="restart"/>
            <w:vAlign w:val="center"/>
          </w:tcPr>
          <w:p>
            <w:pPr>
              <w:jc w:val="center"/>
              <w:rPr>
                <w:rFonts w:ascii="仿宋" w:hAnsi="仿宋" w:eastAsia="仿宋"/>
                <w:szCs w:val="21"/>
              </w:rPr>
            </w:pPr>
            <w:r>
              <w:rPr>
                <w:rFonts w:hint="eastAsia" w:ascii="仿宋" w:hAnsi="仿宋" w:eastAsia="仿宋"/>
                <w:szCs w:val="21"/>
              </w:rPr>
              <w:t>15</w:t>
            </w:r>
          </w:p>
        </w:tc>
        <w:tc>
          <w:tcPr>
            <w:tcW w:w="2340" w:type="dxa"/>
            <w:vAlign w:val="center"/>
          </w:tcPr>
          <w:p>
            <w:pPr>
              <w:rPr>
                <w:rFonts w:ascii="仿宋" w:hAnsi="仿宋" w:eastAsia="仿宋"/>
                <w:szCs w:val="21"/>
              </w:rPr>
            </w:pPr>
            <w:r>
              <w:rPr>
                <w:rFonts w:hint="eastAsia" w:ascii="仿宋" w:hAnsi="仿宋" w:eastAsia="仿宋"/>
                <w:szCs w:val="21"/>
              </w:rPr>
              <w:t>皂荚创新科技示范园栽植工程完成率</w:t>
            </w:r>
          </w:p>
        </w:tc>
        <w:tc>
          <w:tcPr>
            <w:tcW w:w="900" w:type="dxa"/>
            <w:vAlign w:val="center"/>
          </w:tcPr>
          <w:p>
            <w:pPr>
              <w:jc w:val="center"/>
              <w:rPr>
                <w:rFonts w:ascii="仿宋" w:hAnsi="仿宋" w:eastAsia="仿宋"/>
                <w:szCs w:val="21"/>
              </w:rPr>
            </w:pPr>
            <w:r>
              <w:rPr>
                <w:rFonts w:hint="eastAsia" w:ascii="仿宋" w:hAnsi="仿宋" w:eastAsia="仿宋"/>
                <w:szCs w:val="21"/>
              </w:rPr>
              <w:t>5</w:t>
            </w:r>
          </w:p>
        </w:tc>
        <w:tc>
          <w:tcPr>
            <w:tcW w:w="982" w:type="dxa"/>
            <w:vAlign w:val="center"/>
          </w:tcPr>
          <w:p>
            <w:pPr>
              <w:jc w:val="center"/>
              <w:rPr>
                <w:rFonts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continue"/>
            <w:vAlign w:val="center"/>
          </w:tcPr>
          <w:p>
            <w:pPr>
              <w:rPr>
                <w:rFonts w:ascii="仿宋" w:hAnsi="仿宋" w:eastAsia="仿宋"/>
                <w:szCs w:val="21"/>
              </w:rPr>
            </w:pPr>
          </w:p>
        </w:tc>
        <w:tc>
          <w:tcPr>
            <w:tcW w:w="720" w:type="dxa"/>
            <w:vMerge w:val="continue"/>
            <w:vAlign w:val="center"/>
          </w:tcPr>
          <w:p>
            <w:pPr>
              <w:rPr>
                <w:rFonts w:ascii="仿宋" w:hAnsi="仿宋" w:eastAsia="仿宋"/>
                <w:szCs w:val="21"/>
              </w:rPr>
            </w:pPr>
          </w:p>
        </w:tc>
        <w:tc>
          <w:tcPr>
            <w:tcW w:w="1260" w:type="dxa"/>
            <w:vMerge w:val="continue"/>
            <w:vAlign w:val="center"/>
          </w:tcPr>
          <w:p>
            <w:pPr>
              <w:rPr>
                <w:rFonts w:ascii="仿宋" w:hAnsi="仿宋" w:eastAsia="仿宋"/>
                <w:szCs w:val="21"/>
              </w:rPr>
            </w:pPr>
          </w:p>
        </w:tc>
        <w:tc>
          <w:tcPr>
            <w:tcW w:w="720" w:type="dxa"/>
            <w:vMerge w:val="continue"/>
            <w:vAlign w:val="center"/>
          </w:tcPr>
          <w:p>
            <w:pPr>
              <w:jc w:val="center"/>
              <w:rPr>
                <w:rFonts w:ascii="仿宋" w:hAnsi="仿宋" w:eastAsia="仿宋"/>
                <w:szCs w:val="21"/>
              </w:rPr>
            </w:pPr>
          </w:p>
        </w:tc>
        <w:tc>
          <w:tcPr>
            <w:tcW w:w="2340" w:type="dxa"/>
            <w:vAlign w:val="center"/>
          </w:tcPr>
          <w:p>
            <w:pPr>
              <w:rPr>
                <w:rFonts w:ascii="仿宋" w:hAnsi="仿宋" w:eastAsia="仿宋"/>
                <w:szCs w:val="21"/>
              </w:rPr>
            </w:pPr>
            <w:r>
              <w:rPr>
                <w:rFonts w:hint="eastAsia" w:ascii="仿宋" w:hAnsi="仿宋" w:eastAsia="仿宋"/>
                <w:szCs w:val="21"/>
              </w:rPr>
              <w:t>荒滩绿化工程完成率</w:t>
            </w:r>
          </w:p>
        </w:tc>
        <w:tc>
          <w:tcPr>
            <w:tcW w:w="900" w:type="dxa"/>
            <w:vAlign w:val="center"/>
          </w:tcPr>
          <w:p>
            <w:pPr>
              <w:jc w:val="center"/>
              <w:rPr>
                <w:rFonts w:ascii="仿宋" w:hAnsi="仿宋" w:eastAsia="仿宋"/>
                <w:szCs w:val="21"/>
              </w:rPr>
            </w:pPr>
            <w:r>
              <w:rPr>
                <w:rFonts w:hint="eastAsia" w:ascii="仿宋" w:hAnsi="仿宋" w:eastAsia="仿宋"/>
                <w:szCs w:val="21"/>
              </w:rPr>
              <w:t>5</w:t>
            </w:r>
          </w:p>
        </w:tc>
        <w:tc>
          <w:tcPr>
            <w:tcW w:w="982" w:type="dxa"/>
            <w:vAlign w:val="center"/>
          </w:tcPr>
          <w:p>
            <w:pPr>
              <w:jc w:val="center"/>
              <w:rPr>
                <w:rFonts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blHeader/>
        </w:trPr>
        <w:tc>
          <w:tcPr>
            <w:tcW w:w="1136" w:type="dxa"/>
            <w:vMerge w:val="continue"/>
            <w:vAlign w:val="center"/>
          </w:tcPr>
          <w:p>
            <w:pPr>
              <w:rPr>
                <w:rFonts w:ascii="仿宋" w:hAnsi="仿宋" w:eastAsia="仿宋"/>
                <w:szCs w:val="21"/>
              </w:rPr>
            </w:pPr>
          </w:p>
        </w:tc>
        <w:tc>
          <w:tcPr>
            <w:tcW w:w="720" w:type="dxa"/>
            <w:vMerge w:val="continue"/>
            <w:vAlign w:val="center"/>
          </w:tcPr>
          <w:p>
            <w:pPr>
              <w:rPr>
                <w:rFonts w:ascii="仿宋" w:hAnsi="仿宋" w:eastAsia="仿宋"/>
                <w:szCs w:val="21"/>
              </w:rPr>
            </w:pPr>
          </w:p>
        </w:tc>
        <w:tc>
          <w:tcPr>
            <w:tcW w:w="1260" w:type="dxa"/>
            <w:vMerge w:val="continue"/>
            <w:vAlign w:val="center"/>
          </w:tcPr>
          <w:p>
            <w:pPr>
              <w:rPr>
                <w:rFonts w:ascii="仿宋" w:hAnsi="仿宋" w:eastAsia="仿宋"/>
                <w:szCs w:val="21"/>
              </w:rPr>
            </w:pPr>
          </w:p>
        </w:tc>
        <w:tc>
          <w:tcPr>
            <w:tcW w:w="720" w:type="dxa"/>
            <w:vMerge w:val="continue"/>
            <w:vAlign w:val="center"/>
          </w:tcPr>
          <w:p>
            <w:pPr>
              <w:jc w:val="center"/>
              <w:rPr>
                <w:rFonts w:ascii="仿宋" w:hAnsi="仿宋" w:eastAsia="仿宋"/>
                <w:szCs w:val="21"/>
              </w:rPr>
            </w:pPr>
          </w:p>
        </w:tc>
        <w:tc>
          <w:tcPr>
            <w:tcW w:w="2340" w:type="dxa"/>
            <w:vAlign w:val="center"/>
          </w:tcPr>
          <w:p>
            <w:pPr>
              <w:rPr>
                <w:rFonts w:ascii="仿宋" w:hAnsi="仿宋" w:eastAsia="仿宋"/>
                <w:szCs w:val="21"/>
              </w:rPr>
            </w:pPr>
            <w:r>
              <w:rPr>
                <w:rFonts w:hint="eastAsia" w:ascii="仿宋" w:hAnsi="仿宋" w:eastAsia="仿宋"/>
                <w:szCs w:val="21"/>
              </w:rPr>
              <w:t>全民义务植树基地建设工程完成率</w:t>
            </w:r>
          </w:p>
        </w:tc>
        <w:tc>
          <w:tcPr>
            <w:tcW w:w="900" w:type="dxa"/>
            <w:vAlign w:val="center"/>
          </w:tcPr>
          <w:p>
            <w:pPr>
              <w:jc w:val="center"/>
              <w:rPr>
                <w:rFonts w:ascii="仿宋" w:hAnsi="仿宋" w:eastAsia="仿宋"/>
                <w:szCs w:val="21"/>
              </w:rPr>
            </w:pPr>
            <w:r>
              <w:rPr>
                <w:rFonts w:hint="eastAsia" w:ascii="仿宋" w:hAnsi="仿宋" w:eastAsia="仿宋"/>
                <w:szCs w:val="21"/>
              </w:rPr>
              <w:t>5</w:t>
            </w:r>
          </w:p>
        </w:tc>
        <w:tc>
          <w:tcPr>
            <w:tcW w:w="982" w:type="dxa"/>
            <w:vAlign w:val="center"/>
          </w:tcPr>
          <w:p>
            <w:pPr>
              <w:jc w:val="center"/>
              <w:rPr>
                <w:rFonts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continue"/>
            <w:vAlign w:val="center"/>
          </w:tcPr>
          <w:p>
            <w:pPr>
              <w:rPr>
                <w:rFonts w:ascii="仿宋" w:hAnsi="仿宋" w:eastAsia="仿宋"/>
                <w:szCs w:val="21"/>
              </w:rPr>
            </w:pPr>
          </w:p>
        </w:tc>
        <w:tc>
          <w:tcPr>
            <w:tcW w:w="720" w:type="dxa"/>
            <w:vMerge w:val="continue"/>
            <w:vAlign w:val="center"/>
          </w:tcPr>
          <w:p>
            <w:pPr>
              <w:rPr>
                <w:rFonts w:ascii="仿宋" w:hAnsi="仿宋" w:eastAsia="仿宋"/>
                <w:szCs w:val="21"/>
              </w:rPr>
            </w:pPr>
          </w:p>
        </w:tc>
        <w:tc>
          <w:tcPr>
            <w:tcW w:w="1260" w:type="dxa"/>
            <w:vMerge w:val="restart"/>
            <w:vAlign w:val="center"/>
          </w:tcPr>
          <w:p>
            <w:pPr>
              <w:jc w:val="center"/>
              <w:rPr>
                <w:rFonts w:ascii="仿宋" w:hAnsi="仿宋" w:eastAsia="仿宋"/>
                <w:szCs w:val="21"/>
              </w:rPr>
            </w:pPr>
            <w:r>
              <w:rPr>
                <w:rFonts w:hint="eastAsia" w:ascii="仿宋" w:hAnsi="仿宋" w:eastAsia="仿宋"/>
                <w:szCs w:val="21"/>
              </w:rPr>
              <w:t>产出质量</w:t>
            </w:r>
          </w:p>
        </w:tc>
        <w:tc>
          <w:tcPr>
            <w:tcW w:w="720" w:type="dxa"/>
            <w:vMerge w:val="restart"/>
            <w:vAlign w:val="center"/>
          </w:tcPr>
          <w:p>
            <w:pPr>
              <w:jc w:val="center"/>
              <w:rPr>
                <w:rFonts w:ascii="仿宋" w:hAnsi="仿宋" w:eastAsia="仿宋"/>
                <w:szCs w:val="21"/>
              </w:rPr>
            </w:pPr>
            <w:r>
              <w:rPr>
                <w:rFonts w:hint="eastAsia" w:ascii="仿宋" w:hAnsi="仿宋" w:eastAsia="仿宋"/>
                <w:szCs w:val="21"/>
              </w:rPr>
              <w:t>10</w:t>
            </w:r>
          </w:p>
        </w:tc>
        <w:tc>
          <w:tcPr>
            <w:tcW w:w="2340" w:type="dxa"/>
            <w:vAlign w:val="center"/>
          </w:tcPr>
          <w:p>
            <w:pPr>
              <w:rPr>
                <w:rFonts w:ascii="仿宋" w:hAnsi="仿宋" w:eastAsia="仿宋"/>
                <w:szCs w:val="21"/>
              </w:rPr>
            </w:pPr>
            <w:r>
              <w:rPr>
                <w:rFonts w:hint="eastAsia" w:ascii="仿宋" w:hAnsi="仿宋" w:eastAsia="仿宋"/>
                <w:szCs w:val="21"/>
              </w:rPr>
              <w:t>竣工验收有效性</w:t>
            </w:r>
          </w:p>
        </w:tc>
        <w:tc>
          <w:tcPr>
            <w:tcW w:w="900" w:type="dxa"/>
            <w:vAlign w:val="center"/>
          </w:tcPr>
          <w:p>
            <w:pPr>
              <w:jc w:val="center"/>
              <w:rPr>
                <w:rFonts w:ascii="仿宋" w:hAnsi="仿宋" w:eastAsia="仿宋"/>
                <w:szCs w:val="21"/>
              </w:rPr>
            </w:pPr>
            <w:r>
              <w:rPr>
                <w:rFonts w:hint="eastAsia" w:ascii="仿宋" w:hAnsi="仿宋" w:eastAsia="仿宋"/>
                <w:szCs w:val="21"/>
              </w:rPr>
              <w:t>5</w:t>
            </w:r>
          </w:p>
        </w:tc>
        <w:tc>
          <w:tcPr>
            <w:tcW w:w="982" w:type="dxa"/>
            <w:vAlign w:val="center"/>
          </w:tcPr>
          <w:p>
            <w:pPr>
              <w:jc w:val="center"/>
              <w:rPr>
                <w:rFonts w:ascii="仿宋" w:hAnsi="仿宋" w:eastAsia="仿宋"/>
                <w:szCs w:val="21"/>
              </w:rPr>
            </w:pPr>
            <w:r>
              <w:rPr>
                <w:rFonts w:hint="eastAsia" w:ascii="仿宋" w:hAnsi="仿宋" w:eastAsia="仿宋"/>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continue"/>
            <w:vAlign w:val="center"/>
          </w:tcPr>
          <w:p>
            <w:pPr>
              <w:rPr>
                <w:rFonts w:ascii="仿宋" w:hAnsi="仿宋" w:eastAsia="仿宋"/>
                <w:szCs w:val="21"/>
              </w:rPr>
            </w:pPr>
          </w:p>
        </w:tc>
        <w:tc>
          <w:tcPr>
            <w:tcW w:w="720" w:type="dxa"/>
            <w:vMerge w:val="continue"/>
            <w:vAlign w:val="center"/>
          </w:tcPr>
          <w:p>
            <w:pPr>
              <w:rPr>
                <w:rFonts w:ascii="仿宋" w:hAnsi="仿宋" w:eastAsia="仿宋"/>
                <w:szCs w:val="21"/>
              </w:rPr>
            </w:pPr>
          </w:p>
        </w:tc>
        <w:tc>
          <w:tcPr>
            <w:tcW w:w="1260" w:type="dxa"/>
            <w:vMerge w:val="continue"/>
            <w:vAlign w:val="center"/>
          </w:tcPr>
          <w:p>
            <w:pPr>
              <w:jc w:val="center"/>
              <w:rPr>
                <w:rFonts w:ascii="仿宋" w:hAnsi="仿宋" w:eastAsia="仿宋"/>
                <w:szCs w:val="21"/>
              </w:rPr>
            </w:pPr>
          </w:p>
        </w:tc>
        <w:tc>
          <w:tcPr>
            <w:tcW w:w="720" w:type="dxa"/>
            <w:vMerge w:val="continue"/>
            <w:vAlign w:val="center"/>
          </w:tcPr>
          <w:p>
            <w:pPr>
              <w:jc w:val="center"/>
              <w:rPr>
                <w:rFonts w:ascii="仿宋" w:hAnsi="仿宋" w:eastAsia="仿宋"/>
                <w:szCs w:val="21"/>
              </w:rPr>
            </w:pPr>
          </w:p>
        </w:tc>
        <w:tc>
          <w:tcPr>
            <w:tcW w:w="2340" w:type="dxa"/>
            <w:vAlign w:val="center"/>
          </w:tcPr>
          <w:p>
            <w:pPr>
              <w:rPr>
                <w:rFonts w:ascii="仿宋" w:hAnsi="仿宋" w:eastAsia="仿宋"/>
                <w:szCs w:val="21"/>
              </w:rPr>
            </w:pPr>
            <w:r>
              <w:rPr>
                <w:rFonts w:hint="eastAsia" w:ascii="仿宋" w:hAnsi="仿宋" w:eastAsia="仿宋"/>
                <w:szCs w:val="21"/>
              </w:rPr>
              <w:t>苗木成活率</w:t>
            </w:r>
          </w:p>
        </w:tc>
        <w:tc>
          <w:tcPr>
            <w:tcW w:w="900" w:type="dxa"/>
            <w:vAlign w:val="center"/>
          </w:tcPr>
          <w:p>
            <w:pPr>
              <w:jc w:val="center"/>
              <w:rPr>
                <w:rFonts w:ascii="仿宋" w:hAnsi="仿宋" w:eastAsia="仿宋"/>
                <w:szCs w:val="21"/>
              </w:rPr>
            </w:pPr>
            <w:r>
              <w:rPr>
                <w:rFonts w:hint="eastAsia" w:ascii="仿宋" w:hAnsi="仿宋" w:eastAsia="仿宋"/>
                <w:szCs w:val="21"/>
              </w:rPr>
              <w:t>5</w:t>
            </w:r>
          </w:p>
        </w:tc>
        <w:tc>
          <w:tcPr>
            <w:tcW w:w="982" w:type="dxa"/>
            <w:vAlign w:val="center"/>
          </w:tcPr>
          <w:p>
            <w:pPr>
              <w:jc w:val="center"/>
              <w:rPr>
                <w:rFonts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continue"/>
            <w:vAlign w:val="center"/>
          </w:tcPr>
          <w:p>
            <w:pPr>
              <w:rPr>
                <w:rFonts w:ascii="仿宋" w:hAnsi="仿宋" w:eastAsia="仿宋"/>
                <w:szCs w:val="21"/>
              </w:rPr>
            </w:pPr>
          </w:p>
        </w:tc>
        <w:tc>
          <w:tcPr>
            <w:tcW w:w="720" w:type="dxa"/>
            <w:vMerge w:val="continue"/>
            <w:vAlign w:val="center"/>
          </w:tcPr>
          <w:p>
            <w:pPr>
              <w:rPr>
                <w:rFonts w:ascii="仿宋" w:hAnsi="仿宋" w:eastAsia="仿宋"/>
                <w:szCs w:val="21"/>
              </w:rPr>
            </w:pPr>
          </w:p>
        </w:tc>
        <w:tc>
          <w:tcPr>
            <w:tcW w:w="1260" w:type="dxa"/>
            <w:vAlign w:val="center"/>
          </w:tcPr>
          <w:p>
            <w:pPr>
              <w:jc w:val="center"/>
              <w:rPr>
                <w:rFonts w:ascii="仿宋" w:hAnsi="仿宋" w:eastAsia="仿宋"/>
                <w:szCs w:val="21"/>
              </w:rPr>
            </w:pPr>
            <w:r>
              <w:rPr>
                <w:rFonts w:hint="eastAsia" w:ascii="仿宋" w:hAnsi="仿宋" w:eastAsia="仿宋"/>
                <w:szCs w:val="21"/>
              </w:rPr>
              <w:t>产出时效</w:t>
            </w:r>
          </w:p>
        </w:tc>
        <w:tc>
          <w:tcPr>
            <w:tcW w:w="720" w:type="dxa"/>
            <w:vAlign w:val="center"/>
          </w:tcPr>
          <w:p>
            <w:pPr>
              <w:jc w:val="center"/>
              <w:rPr>
                <w:rFonts w:ascii="仿宋" w:hAnsi="仿宋" w:eastAsia="仿宋"/>
                <w:szCs w:val="21"/>
              </w:rPr>
            </w:pPr>
            <w:r>
              <w:rPr>
                <w:rFonts w:hint="eastAsia" w:ascii="仿宋" w:hAnsi="仿宋" w:eastAsia="仿宋"/>
                <w:szCs w:val="21"/>
              </w:rPr>
              <w:t>5</w:t>
            </w:r>
          </w:p>
        </w:tc>
        <w:tc>
          <w:tcPr>
            <w:tcW w:w="2340" w:type="dxa"/>
            <w:vAlign w:val="center"/>
          </w:tcPr>
          <w:p>
            <w:pPr>
              <w:rPr>
                <w:rFonts w:ascii="仿宋" w:hAnsi="仿宋" w:eastAsia="仿宋"/>
                <w:szCs w:val="21"/>
              </w:rPr>
            </w:pPr>
            <w:r>
              <w:rPr>
                <w:rFonts w:hint="eastAsia" w:ascii="仿宋" w:hAnsi="仿宋" w:eastAsia="仿宋"/>
                <w:szCs w:val="21"/>
              </w:rPr>
              <w:t>完成及时性</w:t>
            </w:r>
          </w:p>
        </w:tc>
        <w:tc>
          <w:tcPr>
            <w:tcW w:w="900" w:type="dxa"/>
            <w:vAlign w:val="center"/>
          </w:tcPr>
          <w:p>
            <w:pPr>
              <w:jc w:val="center"/>
              <w:rPr>
                <w:rFonts w:ascii="仿宋" w:hAnsi="仿宋" w:eastAsia="仿宋"/>
                <w:szCs w:val="21"/>
              </w:rPr>
            </w:pPr>
            <w:r>
              <w:rPr>
                <w:rFonts w:hint="eastAsia" w:ascii="仿宋" w:hAnsi="仿宋" w:eastAsia="仿宋"/>
                <w:szCs w:val="21"/>
              </w:rPr>
              <w:t>5</w:t>
            </w:r>
          </w:p>
        </w:tc>
        <w:tc>
          <w:tcPr>
            <w:tcW w:w="982" w:type="dxa"/>
            <w:vAlign w:val="center"/>
          </w:tcPr>
          <w:p>
            <w:pPr>
              <w:jc w:val="center"/>
              <w:rPr>
                <w:rFonts w:ascii="仿宋" w:hAnsi="仿宋" w:eastAsia="仿宋"/>
                <w:szCs w:val="21"/>
              </w:rPr>
            </w:pPr>
            <w:r>
              <w:rPr>
                <w:rFonts w:hint="eastAsia" w:ascii="仿宋" w:hAnsi="仿宋" w:eastAsia="仿宋"/>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continue"/>
            <w:vAlign w:val="center"/>
          </w:tcPr>
          <w:p>
            <w:pPr>
              <w:rPr>
                <w:rFonts w:ascii="仿宋" w:hAnsi="仿宋" w:eastAsia="仿宋"/>
                <w:szCs w:val="21"/>
              </w:rPr>
            </w:pPr>
          </w:p>
        </w:tc>
        <w:tc>
          <w:tcPr>
            <w:tcW w:w="720" w:type="dxa"/>
            <w:vMerge w:val="continue"/>
            <w:vAlign w:val="center"/>
          </w:tcPr>
          <w:p>
            <w:pPr>
              <w:rPr>
                <w:rFonts w:ascii="仿宋" w:hAnsi="仿宋" w:eastAsia="仿宋"/>
                <w:szCs w:val="21"/>
              </w:rPr>
            </w:pPr>
          </w:p>
        </w:tc>
        <w:tc>
          <w:tcPr>
            <w:tcW w:w="1260" w:type="dxa"/>
            <w:vAlign w:val="center"/>
          </w:tcPr>
          <w:p>
            <w:pPr>
              <w:jc w:val="center"/>
              <w:rPr>
                <w:rFonts w:ascii="仿宋" w:hAnsi="仿宋" w:eastAsia="仿宋"/>
                <w:szCs w:val="21"/>
              </w:rPr>
            </w:pPr>
            <w:r>
              <w:rPr>
                <w:rFonts w:hint="eastAsia" w:ascii="仿宋" w:hAnsi="仿宋" w:eastAsia="仿宋"/>
                <w:szCs w:val="21"/>
              </w:rPr>
              <w:t>产出成本</w:t>
            </w:r>
          </w:p>
        </w:tc>
        <w:tc>
          <w:tcPr>
            <w:tcW w:w="720" w:type="dxa"/>
            <w:vAlign w:val="center"/>
          </w:tcPr>
          <w:p>
            <w:pPr>
              <w:jc w:val="center"/>
              <w:rPr>
                <w:rFonts w:ascii="仿宋" w:hAnsi="仿宋" w:eastAsia="仿宋"/>
                <w:szCs w:val="21"/>
              </w:rPr>
            </w:pPr>
            <w:r>
              <w:rPr>
                <w:rFonts w:hint="eastAsia" w:ascii="仿宋" w:hAnsi="仿宋" w:eastAsia="仿宋"/>
                <w:szCs w:val="21"/>
              </w:rPr>
              <w:t>5</w:t>
            </w:r>
          </w:p>
        </w:tc>
        <w:tc>
          <w:tcPr>
            <w:tcW w:w="2340" w:type="dxa"/>
            <w:vAlign w:val="center"/>
          </w:tcPr>
          <w:p>
            <w:pPr>
              <w:rPr>
                <w:rFonts w:ascii="仿宋" w:hAnsi="仿宋" w:eastAsia="仿宋"/>
                <w:szCs w:val="21"/>
              </w:rPr>
            </w:pPr>
            <w:r>
              <w:rPr>
                <w:rFonts w:hint="eastAsia" w:ascii="仿宋" w:hAnsi="仿宋" w:eastAsia="仿宋"/>
                <w:szCs w:val="21"/>
              </w:rPr>
              <w:t>成本节约率</w:t>
            </w:r>
          </w:p>
        </w:tc>
        <w:tc>
          <w:tcPr>
            <w:tcW w:w="900" w:type="dxa"/>
            <w:vAlign w:val="center"/>
          </w:tcPr>
          <w:p>
            <w:pPr>
              <w:jc w:val="center"/>
              <w:rPr>
                <w:rFonts w:ascii="仿宋" w:hAnsi="仿宋" w:eastAsia="仿宋"/>
                <w:szCs w:val="21"/>
              </w:rPr>
            </w:pPr>
            <w:r>
              <w:rPr>
                <w:rFonts w:hint="eastAsia" w:ascii="仿宋" w:hAnsi="仿宋" w:eastAsia="仿宋"/>
                <w:szCs w:val="21"/>
              </w:rPr>
              <w:t>5</w:t>
            </w:r>
          </w:p>
        </w:tc>
        <w:tc>
          <w:tcPr>
            <w:tcW w:w="982" w:type="dxa"/>
            <w:vAlign w:val="center"/>
          </w:tcPr>
          <w:p>
            <w:pPr>
              <w:jc w:val="center"/>
              <w:rPr>
                <w:rFonts w:ascii="仿宋" w:hAnsi="仿宋" w:eastAsia="仿宋"/>
                <w:szCs w:val="21"/>
              </w:rPr>
            </w:pPr>
            <w:r>
              <w:rPr>
                <w:rFonts w:hint="eastAsia" w:ascii="仿宋" w:hAnsi="仿宋" w:eastAsia="仿宋"/>
                <w:szCs w:val="21"/>
              </w:rPr>
              <w:t>5</w:t>
            </w:r>
          </w:p>
        </w:tc>
      </w:tr>
    </w:tbl>
    <w:p>
      <w:pPr>
        <w:tabs>
          <w:tab w:val="left" w:pos="1182"/>
        </w:tabs>
        <w:spacing w:line="600" w:lineRule="exact"/>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产出数量指标是衡量实际完成数量与计划完成数量的比率，用以反映和考核项目产出数量目标的实现程度；产出质量用来考核竣工验收情况与苗木的成活情况；产出时效用来衡量项目是否按实施方案约定如期完工；成本节约率考核项目实际节约成本与计划成本的比率，用以反映和考核项目的成本节约程度。</w:t>
      </w:r>
    </w:p>
    <w:p>
      <w:pPr>
        <w:tabs>
          <w:tab w:val="left" w:pos="1182"/>
        </w:tabs>
        <w:spacing w:line="600" w:lineRule="exact"/>
        <w:ind w:firstLine="600" w:firstLineChars="200"/>
        <w:rPr>
          <w:rFonts w:ascii="仿宋" w:hAnsi="仿宋" w:eastAsia="仿宋" w:cs="宋体"/>
          <w:color w:val="000000"/>
          <w:sz w:val="30"/>
          <w:szCs w:val="30"/>
        </w:rPr>
      </w:pPr>
      <w:r>
        <w:rPr>
          <w:rFonts w:ascii="仿宋" w:hAnsi="仿宋" w:eastAsia="仿宋"/>
          <w:color w:val="000000"/>
          <w:sz w:val="30"/>
          <w:szCs w:val="30"/>
        </w:rPr>
        <w:t>（1）</w:t>
      </w:r>
      <w:r>
        <w:rPr>
          <w:rFonts w:hint="eastAsia" w:ascii="仿宋" w:hAnsi="仿宋" w:eastAsia="仿宋" w:cs="宋体"/>
          <w:color w:val="000000"/>
          <w:sz w:val="30"/>
          <w:szCs w:val="30"/>
        </w:rPr>
        <w:t>实际完成率</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评价人员通过翻阅项目资料、现场勘查</w:t>
      </w:r>
      <w:r>
        <w:rPr>
          <w:rFonts w:hint="eastAsia" w:ascii="仿宋" w:hAnsi="仿宋" w:eastAsia="仿宋"/>
          <w:color w:val="000000"/>
          <w:sz w:val="30"/>
          <w:szCs w:val="30"/>
        </w:rPr>
        <w:t>了解到</w:t>
      </w:r>
      <w:r>
        <w:rPr>
          <w:rFonts w:ascii="仿宋" w:hAnsi="仿宋" w:eastAsia="仿宋"/>
          <w:color w:val="000000"/>
          <w:sz w:val="30"/>
          <w:szCs w:val="30"/>
        </w:rPr>
        <w:t>，项目单位按</w:t>
      </w:r>
      <w:r>
        <w:rPr>
          <w:rFonts w:hint="eastAsia" w:ascii="仿宋" w:hAnsi="仿宋" w:eastAsia="仿宋"/>
          <w:color w:val="000000"/>
          <w:sz w:val="30"/>
          <w:szCs w:val="30"/>
        </w:rPr>
        <w:t>计划</w:t>
      </w:r>
      <w:r>
        <w:rPr>
          <w:rFonts w:ascii="仿宋" w:hAnsi="仿宋" w:eastAsia="仿宋"/>
          <w:color w:val="000000"/>
          <w:sz w:val="30"/>
          <w:szCs w:val="30"/>
        </w:rPr>
        <w:t>完成</w:t>
      </w:r>
      <w:r>
        <w:rPr>
          <w:rFonts w:hint="eastAsia" w:ascii="仿宋" w:hAnsi="仿宋" w:eastAsia="仿宋"/>
          <w:color w:val="000000"/>
          <w:sz w:val="30"/>
          <w:szCs w:val="30"/>
        </w:rPr>
        <w:t>了工程项目建设，实际完成率100%</w:t>
      </w:r>
      <w:r>
        <w:rPr>
          <w:rFonts w:ascii="仿宋" w:hAnsi="仿宋" w:eastAsia="仿宋"/>
          <w:color w:val="000000"/>
          <w:sz w:val="30"/>
          <w:szCs w:val="30"/>
        </w:rPr>
        <w:t>。</w:t>
      </w:r>
    </w:p>
    <w:p>
      <w:pPr>
        <w:tabs>
          <w:tab w:val="left" w:pos="1182"/>
        </w:tabs>
        <w:spacing w:line="600" w:lineRule="exact"/>
        <w:ind w:firstLine="600" w:firstLineChars="200"/>
        <w:rPr>
          <w:rFonts w:ascii="仿宋" w:hAnsi="仿宋" w:eastAsia="仿宋" w:cs="宋体"/>
          <w:sz w:val="30"/>
          <w:szCs w:val="30"/>
        </w:rPr>
      </w:pPr>
      <w:r>
        <w:rPr>
          <w:rFonts w:hint="eastAsia" w:ascii="仿宋" w:hAnsi="仿宋" w:eastAsia="仿宋" w:cs="宋体"/>
          <w:sz w:val="30"/>
          <w:szCs w:val="30"/>
        </w:rPr>
        <w:t>其中：①皂荚创新科技示范园栽植工程，栽植面积1600亩，树种主要为皂荚，通道及边角地方以侧柏增绿；②荒滩绿化工程，绿化面积2000亩，以皂荚树为主，通道及边角地方以侧柏增绿；③互联网+全民义务植树基地建设工程，每年植树200亩，分五年进行。目前已实施2年，植树400亩。</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满分</w:t>
      </w:r>
      <w:r>
        <w:rPr>
          <w:rFonts w:hint="eastAsia" w:ascii="仿宋" w:hAnsi="仿宋" w:eastAsia="仿宋"/>
          <w:color w:val="000000"/>
          <w:sz w:val="30"/>
          <w:szCs w:val="30"/>
        </w:rPr>
        <w:t>15</w:t>
      </w:r>
      <w:r>
        <w:rPr>
          <w:rFonts w:ascii="仿宋" w:hAnsi="仿宋" w:eastAsia="仿宋"/>
          <w:color w:val="000000"/>
          <w:sz w:val="30"/>
          <w:szCs w:val="30"/>
        </w:rPr>
        <w:t>分，得分</w:t>
      </w:r>
      <w:r>
        <w:rPr>
          <w:rFonts w:hint="eastAsia" w:ascii="仿宋" w:hAnsi="仿宋" w:eastAsia="仿宋"/>
          <w:color w:val="000000"/>
          <w:sz w:val="30"/>
          <w:szCs w:val="30"/>
        </w:rPr>
        <w:t>15</w:t>
      </w:r>
      <w:r>
        <w:rPr>
          <w:rFonts w:ascii="仿宋" w:hAnsi="仿宋" w:eastAsia="仿宋"/>
          <w:color w:val="000000"/>
          <w:sz w:val="30"/>
          <w:szCs w:val="30"/>
        </w:rPr>
        <w:t>分。</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w:t>
      </w:r>
      <w:r>
        <w:rPr>
          <w:rFonts w:hint="eastAsia" w:ascii="仿宋" w:hAnsi="仿宋" w:eastAsia="仿宋"/>
          <w:color w:val="000000"/>
          <w:sz w:val="30"/>
          <w:szCs w:val="30"/>
        </w:rPr>
        <w:t>2</w:t>
      </w:r>
      <w:r>
        <w:rPr>
          <w:rFonts w:ascii="仿宋" w:hAnsi="仿宋" w:eastAsia="仿宋"/>
          <w:color w:val="000000"/>
          <w:sz w:val="30"/>
          <w:szCs w:val="30"/>
        </w:rPr>
        <w:t>）</w:t>
      </w:r>
      <w:r>
        <w:rPr>
          <w:rFonts w:hint="eastAsia" w:ascii="仿宋" w:hAnsi="仿宋" w:eastAsia="仿宋"/>
          <w:color w:val="000000"/>
          <w:sz w:val="30"/>
          <w:szCs w:val="30"/>
        </w:rPr>
        <w:t>竣工验收有效性</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南山皂荚创新示范园绿化工程，项目单位与监理单位分别于2017年12月、2018年12月对工程进行了两次验收，要求完成补栽工作并进行一次普浇。合同约定的养护期结束后，于2019年12月7日，施工单位、监理单位、项目单位共同完成了对项目的验收，评定为合格。</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运城市市级荒滩造林绿化工程，项目单位与监理单位于2020年1月对工程进行了初次验收，要求完成补栽工作并进行一次普浇。初验结果：苗木质量基本符合设计要求，栽植密度基本能够按照设计操作，对苗木规格达不到设计要求的，建议乙方更换为设计要求规格的苗木，对栽植密度达不到设计要求的，建议补栽苗木。初验报告未对验收是否合格下明确结论，该项指标扣1分。</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运城市互联网+全民义务植树基地绿化工程一期工程，项目单位与监理单位于2019年12月对工程进行了初次验收，要求完成补栽工作并进行一次普浇，初验结论：工程质量合格。</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满分</w:t>
      </w:r>
      <w:r>
        <w:rPr>
          <w:rFonts w:hint="eastAsia" w:ascii="仿宋" w:hAnsi="仿宋" w:eastAsia="仿宋"/>
          <w:color w:val="000000"/>
          <w:sz w:val="30"/>
          <w:szCs w:val="30"/>
        </w:rPr>
        <w:t>5</w:t>
      </w:r>
      <w:r>
        <w:rPr>
          <w:rFonts w:ascii="仿宋" w:hAnsi="仿宋" w:eastAsia="仿宋"/>
          <w:color w:val="000000"/>
          <w:sz w:val="30"/>
          <w:szCs w:val="30"/>
        </w:rPr>
        <w:t>分，得分</w:t>
      </w:r>
      <w:r>
        <w:rPr>
          <w:rFonts w:hint="eastAsia" w:ascii="仿宋" w:hAnsi="仿宋" w:eastAsia="仿宋"/>
          <w:color w:val="000000"/>
          <w:sz w:val="30"/>
          <w:szCs w:val="30"/>
        </w:rPr>
        <w:t>4</w:t>
      </w:r>
      <w:r>
        <w:rPr>
          <w:rFonts w:ascii="仿宋" w:hAnsi="仿宋" w:eastAsia="仿宋"/>
          <w:color w:val="000000"/>
          <w:sz w:val="30"/>
          <w:szCs w:val="30"/>
        </w:rPr>
        <w:t>分。</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（3）苗木成活率</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通过查看项目资料以及现场勘查，苗木成活情况较好，通过施工单位补植补栽，苗木成活率达到了98%以上。</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满分</w:t>
      </w:r>
      <w:r>
        <w:rPr>
          <w:rFonts w:hint="eastAsia" w:ascii="仿宋" w:hAnsi="仿宋" w:eastAsia="仿宋"/>
          <w:color w:val="000000"/>
          <w:sz w:val="30"/>
          <w:szCs w:val="30"/>
        </w:rPr>
        <w:t>5</w:t>
      </w:r>
      <w:r>
        <w:rPr>
          <w:rFonts w:ascii="仿宋" w:hAnsi="仿宋" w:eastAsia="仿宋"/>
          <w:color w:val="000000"/>
          <w:sz w:val="30"/>
          <w:szCs w:val="30"/>
        </w:rPr>
        <w:t>分，得分</w:t>
      </w:r>
      <w:r>
        <w:rPr>
          <w:rFonts w:hint="eastAsia" w:ascii="仿宋" w:hAnsi="仿宋" w:eastAsia="仿宋"/>
          <w:color w:val="000000"/>
          <w:sz w:val="30"/>
          <w:szCs w:val="30"/>
        </w:rPr>
        <w:t>5</w:t>
      </w:r>
      <w:r>
        <w:rPr>
          <w:rFonts w:ascii="仿宋" w:hAnsi="仿宋" w:eastAsia="仿宋"/>
          <w:color w:val="000000"/>
          <w:sz w:val="30"/>
          <w:szCs w:val="30"/>
        </w:rPr>
        <w:t>分。</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w:t>
      </w:r>
      <w:r>
        <w:rPr>
          <w:rFonts w:hint="eastAsia" w:ascii="仿宋" w:hAnsi="仿宋" w:eastAsia="仿宋"/>
          <w:color w:val="000000"/>
          <w:sz w:val="30"/>
          <w:szCs w:val="30"/>
        </w:rPr>
        <w:t>4</w:t>
      </w:r>
      <w:r>
        <w:rPr>
          <w:rFonts w:ascii="仿宋" w:hAnsi="仿宋" w:eastAsia="仿宋"/>
          <w:color w:val="000000"/>
          <w:sz w:val="30"/>
          <w:szCs w:val="30"/>
        </w:rPr>
        <w:t>）完工</w:t>
      </w:r>
      <w:r>
        <w:rPr>
          <w:rFonts w:hint="eastAsia" w:ascii="仿宋" w:hAnsi="仿宋" w:eastAsia="仿宋"/>
          <w:color w:val="000000"/>
          <w:sz w:val="30"/>
          <w:szCs w:val="30"/>
        </w:rPr>
        <w:t>及时</w:t>
      </w:r>
      <w:r>
        <w:rPr>
          <w:rFonts w:ascii="仿宋" w:hAnsi="仿宋" w:eastAsia="仿宋"/>
          <w:color w:val="000000"/>
          <w:sz w:val="30"/>
          <w:szCs w:val="30"/>
        </w:rPr>
        <w:t>性</w:t>
      </w:r>
    </w:p>
    <w:p>
      <w:pPr>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南山皂荚创新示范园绿化工程于2017年3月26日开工，2017年4月20日竣工；运城市市级荒滩造林绿化工程于2019年11月25日开工，2020年1月8日竣工；运城市互联网+全民义务植树基地绿化工程一期工程于2019年11月25日开工，2019年12月25日竣工，均在合同约定范围内完工。</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满分</w:t>
      </w:r>
      <w:r>
        <w:rPr>
          <w:rFonts w:hint="eastAsia" w:ascii="仿宋" w:hAnsi="仿宋" w:eastAsia="仿宋"/>
          <w:color w:val="000000"/>
          <w:sz w:val="30"/>
          <w:szCs w:val="30"/>
        </w:rPr>
        <w:t>5</w:t>
      </w:r>
      <w:r>
        <w:rPr>
          <w:rFonts w:ascii="仿宋" w:hAnsi="仿宋" w:eastAsia="仿宋"/>
          <w:color w:val="000000"/>
          <w:sz w:val="30"/>
          <w:szCs w:val="30"/>
        </w:rPr>
        <w:t>分，得分</w:t>
      </w:r>
      <w:r>
        <w:rPr>
          <w:rFonts w:hint="eastAsia" w:ascii="仿宋" w:hAnsi="仿宋" w:eastAsia="仿宋"/>
          <w:color w:val="000000"/>
          <w:sz w:val="30"/>
          <w:szCs w:val="30"/>
        </w:rPr>
        <w:t>5</w:t>
      </w:r>
      <w:r>
        <w:rPr>
          <w:rFonts w:ascii="仿宋" w:hAnsi="仿宋" w:eastAsia="仿宋"/>
          <w:color w:val="000000"/>
          <w:sz w:val="30"/>
          <w:szCs w:val="30"/>
        </w:rPr>
        <w:t>分。</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（5）成本节约率</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通过查阅财务资料，南山生态修复荒滩绿化项目2019年度计划成本20,000.000.00元，支出18,087,620.44元，完成项目实际成本未超过计划成本。</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该项指标满分5分，得分5分。</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5</w:t>
      </w:r>
      <w:r>
        <w:rPr>
          <w:rFonts w:ascii="仿宋" w:hAnsi="仿宋" w:eastAsia="仿宋"/>
          <w:color w:val="000000"/>
          <w:sz w:val="30"/>
          <w:szCs w:val="30"/>
        </w:rPr>
        <w:t>．效益</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效益指标主要从</w:t>
      </w:r>
      <w:r>
        <w:rPr>
          <w:rFonts w:hint="eastAsia" w:ascii="仿宋" w:hAnsi="仿宋" w:eastAsia="仿宋"/>
          <w:color w:val="000000"/>
          <w:sz w:val="30"/>
          <w:szCs w:val="30"/>
        </w:rPr>
        <w:t>生态效益、满意度、可持续影响</w:t>
      </w:r>
      <w:r>
        <w:rPr>
          <w:rFonts w:ascii="仿宋" w:hAnsi="仿宋" w:eastAsia="仿宋"/>
          <w:color w:val="000000"/>
          <w:sz w:val="30"/>
          <w:szCs w:val="30"/>
        </w:rPr>
        <w:t>方面进行考察，效益类指标总分</w:t>
      </w:r>
      <w:r>
        <w:rPr>
          <w:rFonts w:hint="eastAsia" w:ascii="仿宋" w:hAnsi="仿宋" w:eastAsia="仿宋"/>
          <w:color w:val="000000"/>
          <w:sz w:val="30"/>
          <w:szCs w:val="30"/>
        </w:rPr>
        <w:t>26</w:t>
      </w:r>
      <w:r>
        <w:rPr>
          <w:rFonts w:ascii="仿宋" w:hAnsi="仿宋" w:eastAsia="仿宋"/>
          <w:color w:val="000000"/>
          <w:sz w:val="30"/>
          <w:szCs w:val="30"/>
        </w:rPr>
        <w:t>分，实际得分为</w:t>
      </w:r>
      <w:r>
        <w:rPr>
          <w:rFonts w:hint="eastAsia" w:ascii="仿宋" w:hAnsi="仿宋" w:eastAsia="仿宋"/>
          <w:color w:val="000000"/>
          <w:sz w:val="30"/>
          <w:szCs w:val="30"/>
        </w:rPr>
        <w:t>17.50</w:t>
      </w:r>
      <w:r>
        <w:rPr>
          <w:rFonts w:ascii="仿宋" w:hAnsi="仿宋" w:eastAsia="仿宋"/>
          <w:color w:val="000000"/>
          <w:sz w:val="30"/>
          <w:szCs w:val="30"/>
        </w:rPr>
        <w:t>分。效益指标的具体得分情况如表所示。</w:t>
      </w:r>
    </w:p>
    <w:p>
      <w:pPr>
        <w:autoSpaceDE w:val="0"/>
        <w:autoSpaceDN w:val="0"/>
        <w:adjustRightInd w:val="0"/>
        <w:jc w:val="center"/>
        <w:rPr>
          <w:rFonts w:ascii="仿宋" w:hAnsi="仿宋" w:eastAsia="仿宋" w:cs="宋体"/>
          <w:kern w:val="0"/>
          <w:sz w:val="24"/>
        </w:rPr>
      </w:pPr>
      <w:r>
        <w:rPr>
          <w:rFonts w:hint="eastAsia" w:ascii="仿宋" w:hAnsi="仿宋" w:eastAsia="仿宋" w:cs="宋体"/>
          <w:kern w:val="0"/>
          <w:sz w:val="24"/>
        </w:rPr>
        <w:t>效益类指标评分表</w:t>
      </w:r>
    </w:p>
    <w:tbl>
      <w:tblPr>
        <w:tblStyle w:val="14"/>
        <w:tblW w:w="8058"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720"/>
        <w:gridCol w:w="1815"/>
        <w:gridCol w:w="992"/>
        <w:gridCol w:w="1984"/>
        <w:gridCol w:w="709"/>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36" w:type="dxa"/>
            <w:vAlign w:val="center"/>
          </w:tcPr>
          <w:p>
            <w:pPr>
              <w:rPr>
                <w:rFonts w:ascii="仿宋" w:hAnsi="仿宋" w:eastAsia="仿宋"/>
                <w:bCs/>
                <w:szCs w:val="21"/>
              </w:rPr>
            </w:pPr>
            <w:r>
              <w:rPr>
                <w:rFonts w:hint="eastAsia" w:ascii="仿宋" w:hAnsi="仿宋" w:eastAsia="仿宋"/>
                <w:bCs/>
                <w:szCs w:val="21"/>
              </w:rPr>
              <w:t>一级指标</w:t>
            </w:r>
          </w:p>
        </w:tc>
        <w:tc>
          <w:tcPr>
            <w:tcW w:w="720" w:type="dxa"/>
            <w:vAlign w:val="center"/>
          </w:tcPr>
          <w:p>
            <w:pPr>
              <w:rPr>
                <w:rFonts w:ascii="仿宋" w:hAnsi="仿宋" w:eastAsia="仿宋"/>
                <w:bCs/>
                <w:szCs w:val="21"/>
              </w:rPr>
            </w:pPr>
            <w:r>
              <w:rPr>
                <w:rFonts w:hint="eastAsia" w:ascii="仿宋" w:hAnsi="仿宋" w:eastAsia="仿宋"/>
                <w:bCs/>
                <w:szCs w:val="21"/>
              </w:rPr>
              <w:t>分值</w:t>
            </w:r>
          </w:p>
        </w:tc>
        <w:tc>
          <w:tcPr>
            <w:tcW w:w="1815" w:type="dxa"/>
            <w:vAlign w:val="center"/>
          </w:tcPr>
          <w:p>
            <w:pPr>
              <w:rPr>
                <w:rFonts w:ascii="仿宋" w:hAnsi="仿宋" w:eastAsia="仿宋"/>
                <w:bCs/>
                <w:szCs w:val="21"/>
              </w:rPr>
            </w:pPr>
            <w:r>
              <w:rPr>
                <w:rFonts w:hint="eastAsia" w:ascii="仿宋" w:hAnsi="仿宋" w:eastAsia="仿宋"/>
                <w:bCs/>
                <w:szCs w:val="21"/>
              </w:rPr>
              <w:t>二级指标</w:t>
            </w:r>
          </w:p>
        </w:tc>
        <w:tc>
          <w:tcPr>
            <w:tcW w:w="992" w:type="dxa"/>
            <w:vAlign w:val="center"/>
          </w:tcPr>
          <w:p>
            <w:pPr>
              <w:rPr>
                <w:rFonts w:ascii="仿宋" w:hAnsi="仿宋" w:eastAsia="仿宋"/>
                <w:bCs/>
                <w:szCs w:val="21"/>
              </w:rPr>
            </w:pPr>
            <w:r>
              <w:rPr>
                <w:rFonts w:hint="eastAsia" w:ascii="仿宋" w:hAnsi="仿宋" w:eastAsia="仿宋"/>
                <w:bCs/>
                <w:szCs w:val="21"/>
              </w:rPr>
              <w:t>分值</w:t>
            </w:r>
          </w:p>
        </w:tc>
        <w:tc>
          <w:tcPr>
            <w:tcW w:w="1984" w:type="dxa"/>
            <w:vAlign w:val="center"/>
          </w:tcPr>
          <w:p>
            <w:pPr>
              <w:rPr>
                <w:rFonts w:ascii="仿宋" w:hAnsi="仿宋" w:eastAsia="仿宋"/>
                <w:bCs/>
                <w:szCs w:val="21"/>
              </w:rPr>
            </w:pPr>
            <w:r>
              <w:rPr>
                <w:rFonts w:hint="eastAsia" w:ascii="仿宋" w:hAnsi="仿宋" w:eastAsia="仿宋"/>
                <w:bCs/>
                <w:szCs w:val="21"/>
              </w:rPr>
              <w:t>三级指标</w:t>
            </w:r>
          </w:p>
        </w:tc>
        <w:tc>
          <w:tcPr>
            <w:tcW w:w="709" w:type="dxa"/>
            <w:vAlign w:val="center"/>
          </w:tcPr>
          <w:p>
            <w:pPr>
              <w:rPr>
                <w:rFonts w:ascii="仿宋" w:hAnsi="仿宋" w:eastAsia="仿宋"/>
                <w:bCs/>
                <w:szCs w:val="21"/>
              </w:rPr>
            </w:pPr>
            <w:r>
              <w:rPr>
                <w:rFonts w:hint="eastAsia" w:ascii="仿宋" w:hAnsi="仿宋" w:eastAsia="仿宋"/>
                <w:bCs/>
                <w:szCs w:val="21"/>
              </w:rPr>
              <w:t>分值</w:t>
            </w:r>
          </w:p>
        </w:tc>
        <w:tc>
          <w:tcPr>
            <w:tcW w:w="702" w:type="dxa"/>
            <w:vAlign w:val="center"/>
          </w:tcPr>
          <w:p>
            <w:pPr>
              <w:rPr>
                <w:rFonts w:ascii="仿宋" w:hAnsi="仿宋" w:eastAsia="仿宋"/>
                <w:bCs/>
                <w:szCs w:val="21"/>
              </w:rPr>
            </w:pPr>
            <w:r>
              <w:rPr>
                <w:rFonts w:hint="eastAsia" w:ascii="仿宋" w:hAnsi="仿宋" w:eastAsia="仿宋"/>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136" w:type="dxa"/>
            <w:vMerge w:val="restart"/>
            <w:vAlign w:val="center"/>
          </w:tcPr>
          <w:p>
            <w:pPr>
              <w:jc w:val="center"/>
              <w:rPr>
                <w:rFonts w:ascii="仿宋" w:hAnsi="仿宋" w:eastAsia="仿宋"/>
                <w:szCs w:val="21"/>
              </w:rPr>
            </w:pPr>
            <w:r>
              <w:rPr>
                <w:rFonts w:hint="eastAsia" w:ascii="仿宋" w:hAnsi="仿宋" w:eastAsia="仿宋"/>
                <w:szCs w:val="21"/>
              </w:rPr>
              <w:t>效益</w:t>
            </w:r>
          </w:p>
        </w:tc>
        <w:tc>
          <w:tcPr>
            <w:tcW w:w="720" w:type="dxa"/>
            <w:vMerge w:val="restart"/>
            <w:vAlign w:val="center"/>
          </w:tcPr>
          <w:p>
            <w:pPr>
              <w:jc w:val="center"/>
              <w:rPr>
                <w:rFonts w:ascii="仿宋" w:hAnsi="仿宋" w:eastAsia="仿宋"/>
                <w:szCs w:val="21"/>
              </w:rPr>
            </w:pPr>
            <w:r>
              <w:rPr>
                <w:rFonts w:hint="eastAsia" w:ascii="仿宋" w:hAnsi="仿宋" w:eastAsia="仿宋"/>
                <w:szCs w:val="21"/>
              </w:rPr>
              <w:t>26</w:t>
            </w:r>
          </w:p>
        </w:tc>
        <w:tc>
          <w:tcPr>
            <w:tcW w:w="1815" w:type="dxa"/>
            <w:vMerge w:val="restart"/>
            <w:vAlign w:val="center"/>
          </w:tcPr>
          <w:p>
            <w:pPr>
              <w:rPr>
                <w:rFonts w:ascii="仿宋" w:hAnsi="仿宋" w:eastAsia="仿宋"/>
                <w:szCs w:val="21"/>
              </w:rPr>
            </w:pPr>
            <w:r>
              <w:rPr>
                <w:rFonts w:hint="eastAsia" w:ascii="仿宋" w:hAnsi="仿宋" w:eastAsia="仿宋"/>
                <w:szCs w:val="21"/>
              </w:rPr>
              <w:t>生态效益</w:t>
            </w:r>
          </w:p>
        </w:tc>
        <w:tc>
          <w:tcPr>
            <w:tcW w:w="992" w:type="dxa"/>
            <w:vMerge w:val="restart"/>
            <w:vAlign w:val="center"/>
          </w:tcPr>
          <w:p>
            <w:pPr>
              <w:jc w:val="center"/>
              <w:rPr>
                <w:rFonts w:ascii="仿宋" w:hAnsi="仿宋" w:eastAsia="仿宋"/>
                <w:szCs w:val="21"/>
              </w:rPr>
            </w:pPr>
            <w:r>
              <w:rPr>
                <w:rFonts w:hint="eastAsia" w:ascii="仿宋" w:hAnsi="仿宋" w:eastAsia="仿宋"/>
                <w:szCs w:val="21"/>
              </w:rPr>
              <w:t>10</w:t>
            </w:r>
          </w:p>
        </w:tc>
        <w:tc>
          <w:tcPr>
            <w:tcW w:w="1984" w:type="dxa"/>
            <w:vAlign w:val="center"/>
          </w:tcPr>
          <w:p>
            <w:pPr>
              <w:rPr>
                <w:rFonts w:ascii="仿宋" w:hAnsi="仿宋" w:eastAsia="仿宋"/>
                <w:szCs w:val="21"/>
              </w:rPr>
            </w:pPr>
            <w:r>
              <w:rPr>
                <w:rFonts w:hint="eastAsia" w:ascii="仿宋" w:hAnsi="仿宋" w:eastAsia="仿宋"/>
                <w:szCs w:val="21"/>
              </w:rPr>
              <w:t>森林覆盖率</w:t>
            </w:r>
          </w:p>
        </w:tc>
        <w:tc>
          <w:tcPr>
            <w:tcW w:w="709" w:type="dxa"/>
            <w:vAlign w:val="center"/>
          </w:tcPr>
          <w:p>
            <w:pPr>
              <w:jc w:val="center"/>
              <w:rPr>
                <w:rFonts w:ascii="仿宋" w:hAnsi="仿宋" w:eastAsia="仿宋" w:cs="宋体"/>
                <w:szCs w:val="21"/>
              </w:rPr>
            </w:pPr>
            <w:r>
              <w:rPr>
                <w:rFonts w:hint="eastAsia" w:ascii="仿宋" w:hAnsi="仿宋" w:eastAsia="仿宋"/>
                <w:szCs w:val="21"/>
              </w:rPr>
              <w:t>2</w:t>
            </w:r>
          </w:p>
        </w:tc>
        <w:tc>
          <w:tcPr>
            <w:tcW w:w="702" w:type="dxa"/>
            <w:vAlign w:val="center"/>
          </w:tcPr>
          <w:p>
            <w:pPr>
              <w:jc w:val="center"/>
              <w:rPr>
                <w:rFonts w:ascii="仿宋" w:hAnsi="仿宋" w:eastAsia="仿宋"/>
                <w:szCs w:val="21"/>
              </w:rPr>
            </w:pPr>
            <w:r>
              <w:rPr>
                <w:rFonts w:hint="eastAsia" w:ascii="仿宋" w:hAnsi="仿宋" w:eastAsia="仿宋"/>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36" w:type="dxa"/>
            <w:vMerge w:val="continue"/>
            <w:vAlign w:val="center"/>
          </w:tcPr>
          <w:p>
            <w:pPr>
              <w:jc w:val="center"/>
              <w:rPr>
                <w:rFonts w:ascii="仿宋" w:hAnsi="仿宋" w:eastAsia="仿宋"/>
                <w:szCs w:val="21"/>
              </w:rPr>
            </w:pPr>
          </w:p>
        </w:tc>
        <w:tc>
          <w:tcPr>
            <w:tcW w:w="720" w:type="dxa"/>
            <w:vMerge w:val="continue"/>
            <w:vAlign w:val="center"/>
          </w:tcPr>
          <w:p>
            <w:pPr>
              <w:rPr>
                <w:rFonts w:ascii="仿宋" w:hAnsi="仿宋" w:eastAsia="仿宋"/>
                <w:szCs w:val="21"/>
              </w:rPr>
            </w:pPr>
          </w:p>
        </w:tc>
        <w:tc>
          <w:tcPr>
            <w:tcW w:w="1815" w:type="dxa"/>
            <w:vMerge w:val="continue"/>
            <w:vAlign w:val="center"/>
          </w:tcPr>
          <w:p>
            <w:pPr>
              <w:rPr>
                <w:rFonts w:ascii="仿宋" w:hAnsi="仿宋" w:eastAsia="仿宋"/>
                <w:szCs w:val="21"/>
              </w:rPr>
            </w:pPr>
          </w:p>
        </w:tc>
        <w:tc>
          <w:tcPr>
            <w:tcW w:w="992" w:type="dxa"/>
            <w:vMerge w:val="continue"/>
            <w:vAlign w:val="center"/>
          </w:tcPr>
          <w:p>
            <w:pPr>
              <w:rPr>
                <w:rFonts w:ascii="仿宋" w:hAnsi="仿宋" w:eastAsia="仿宋"/>
                <w:szCs w:val="21"/>
              </w:rPr>
            </w:pPr>
          </w:p>
        </w:tc>
        <w:tc>
          <w:tcPr>
            <w:tcW w:w="1984" w:type="dxa"/>
            <w:vAlign w:val="center"/>
          </w:tcPr>
          <w:p>
            <w:pPr>
              <w:rPr>
                <w:rFonts w:ascii="仿宋" w:hAnsi="仿宋" w:eastAsia="仿宋"/>
                <w:szCs w:val="21"/>
              </w:rPr>
            </w:pPr>
            <w:r>
              <w:rPr>
                <w:rFonts w:hint="eastAsia" w:ascii="仿宋" w:hAnsi="仿宋" w:eastAsia="仿宋"/>
                <w:szCs w:val="21"/>
              </w:rPr>
              <w:t>改善气候</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702" w:type="dxa"/>
            <w:vAlign w:val="center"/>
          </w:tcPr>
          <w:p>
            <w:pPr>
              <w:jc w:val="center"/>
              <w:rPr>
                <w:rFonts w:ascii="仿宋" w:hAnsi="仿宋" w:eastAsia="仿宋"/>
                <w:szCs w:val="21"/>
              </w:rPr>
            </w:pPr>
            <w:r>
              <w:rPr>
                <w:rFonts w:hint="eastAsia" w:ascii="仿宋" w:hAnsi="仿宋" w:eastAsia="仿宋"/>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36" w:type="dxa"/>
            <w:vMerge w:val="continue"/>
            <w:vAlign w:val="center"/>
          </w:tcPr>
          <w:p>
            <w:pPr>
              <w:jc w:val="center"/>
              <w:rPr>
                <w:rFonts w:ascii="仿宋" w:hAnsi="仿宋" w:eastAsia="仿宋"/>
                <w:szCs w:val="21"/>
              </w:rPr>
            </w:pPr>
          </w:p>
        </w:tc>
        <w:tc>
          <w:tcPr>
            <w:tcW w:w="720" w:type="dxa"/>
            <w:vMerge w:val="continue"/>
            <w:vAlign w:val="center"/>
          </w:tcPr>
          <w:p>
            <w:pPr>
              <w:rPr>
                <w:rFonts w:ascii="仿宋" w:hAnsi="仿宋" w:eastAsia="仿宋"/>
                <w:szCs w:val="21"/>
              </w:rPr>
            </w:pPr>
          </w:p>
        </w:tc>
        <w:tc>
          <w:tcPr>
            <w:tcW w:w="1815" w:type="dxa"/>
            <w:vMerge w:val="continue"/>
            <w:vAlign w:val="center"/>
          </w:tcPr>
          <w:p>
            <w:pPr>
              <w:rPr>
                <w:rFonts w:ascii="仿宋" w:hAnsi="仿宋" w:eastAsia="仿宋"/>
                <w:szCs w:val="21"/>
              </w:rPr>
            </w:pPr>
          </w:p>
        </w:tc>
        <w:tc>
          <w:tcPr>
            <w:tcW w:w="992" w:type="dxa"/>
            <w:vMerge w:val="continue"/>
            <w:vAlign w:val="center"/>
          </w:tcPr>
          <w:p>
            <w:pPr>
              <w:rPr>
                <w:rFonts w:ascii="仿宋" w:hAnsi="仿宋" w:eastAsia="仿宋"/>
                <w:szCs w:val="21"/>
              </w:rPr>
            </w:pPr>
          </w:p>
        </w:tc>
        <w:tc>
          <w:tcPr>
            <w:tcW w:w="1984" w:type="dxa"/>
            <w:vAlign w:val="center"/>
          </w:tcPr>
          <w:p>
            <w:pPr>
              <w:rPr>
                <w:rFonts w:ascii="仿宋" w:hAnsi="仿宋" w:eastAsia="仿宋"/>
                <w:szCs w:val="21"/>
              </w:rPr>
            </w:pPr>
            <w:r>
              <w:rPr>
                <w:rFonts w:hint="eastAsia" w:ascii="仿宋" w:hAnsi="仿宋" w:eastAsia="仿宋"/>
                <w:szCs w:val="21"/>
              </w:rPr>
              <w:t>净化空气</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702" w:type="dxa"/>
            <w:vAlign w:val="center"/>
          </w:tcPr>
          <w:p>
            <w:pPr>
              <w:jc w:val="center"/>
              <w:rPr>
                <w:rFonts w:ascii="仿宋" w:hAnsi="仿宋" w:eastAsia="仿宋"/>
                <w:szCs w:val="21"/>
              </w:rPr>
            </w:pPr>
            <w:r>
              <w:rPr>
                <w:rFonts w:hint="eastAsia" w:ascii="仿宋" w:hAnsi="仿宋" w:eastAsia="仿宋"/>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36" w:type="dxa"/>
            <w:vMerge w:val="continue"/>
            <w:vAlign w:val="center"/>
          </w:tcPr>
          <w:p>
            <w:pPr>
              <w:jc w:val="center"/>
              <w:rPr>
                <w:rFonts w:ascii="仿宋" w:hAnsi="仿宋" w:eastAsia="仿宋"/>
                <w:szCs w:val="21"/>
              </w:rPr>
            </w:pPr>
          </w:p>
        </w:tc>
        <w:tc>
          <w:tcPr>
            <w:tcW w:w="720" w:type="dxa"/>
            <w:vMerge w:val="continue"/>
            <w:vAlign w:val="center"/>
          </w:tcPr>
          <w:p>
            <w:pPr>
              <w:rPr>
                <w:rFonts w:ascii="仿宋" w:hAnsi="仿宋" w:eastAsia="仿宋"/>
                <w:szCs w:val="21"/>
              </w:rPr>
            </w:pPr>
          </w:p>
        </w:tc>
        <w:tc>
          <w:tcPr>
            <w:tcW w:w="1815" w:type="dxa"/>
            <w:vMerge w:val="continue"/>
            <w:vAlign w:val="center"/>
          </w:tcPr>
          <w:p>
            <w:pPr>
              <w:rPr>
                <w:rFonts w:ascii="仿宋" w:hAnsi="仿宋" w:eastAsia="仿宋"/>
                <w:szCs w:val="21"/>
              </w:rPr>
            </w:pPr>
          </w:p>
        </w:tc>
        <w:tc>
          <w:tcPr>
            <w:tcW w:w="992" w:type="dxa"/>
            <w:vMerge w:val="continue"/>
            <w:vAlign w:val="center"/>
          </w:tcPr>
          <w:p>
            <w:pPr>
              <w:rPr>
                <w:rFonts w:ascii="仿宋" w:hAnsi="仿宋" w:eastAsia="仿宋"/>
                <w:szCs w:val="21"/>
              </w:rPr>
            </w:pPr>
          </w:p>
        </w:tc>
        <w:tc>
          <w:tcPr>
            <w:tcW w:w="1984" w:type="dxa"/>
            <w:vAlign w:val="center"/>
          </w:tcPr>
          <w:p>
            <w:pPr>
              <w:rPr>
                <w:rFonts w:ascii="仿宋" w:hAnsi="仿宋" w:eastAsia="仿宋"/>
                <w:szCs w:val="21"/>
              </w:rPr>
            </w:pPr>
            <w:r>
              <w:rPr>
                <w:rFonts w:hint="eastAsia" w:ascii="仿宋" w:hAnsi="仿宋" w:eastAsia="仿宋"/>
                <w:szCs w:val="21"/>
              </w:rPr>
              <w:t>降低噪声</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702" w:type="dxa"/>
            <w:vAlign w:val="center"/>
          </w:tcPr>
          <w:p>
            <w:pPr>
              <w:jc w:val="center"/>
              <w:rPr>
                <w:rFonts w:ascii="仿宋" w:hAnsi="仿宋" w:eastAsia="仿宋"/>
                <w:szCs w:val="21"/>
              </w:rPr>
            </w:pPr>
            <w:r>
              <w:rPr>
                <w:rFonts w:hint="eastAsia" w:ascii="仿宋" w:hAnsi="仿宋" w:eastAsia="仿宋"/>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36" w:type="dxa"/>
            <w:vMerge w:val="continue"/>
            <w:vAlign w:val="center"/>
          </w:tcPr>
          <w:p>
            <w:pPr>
              <w:jc w:val="center"/>
              <w:rPr>
                <w:rFonts w:ascii="仿宋" w:hAnsi="仿宋" w:eastAsia="仿宋"/>
                <w:szCs w:val="21"/>
              </w:rPr>
            </w:pPr>
          </w:p>
        </w:tc>
        <w:tc>
          <w:tcPr>
            <w:tcW w:w="720" w:type="dxa"/>
            <w:vMerge w:val="continue"/>
            <w:vAlign w:val="center"/>
          </w:tcPr>
          <w:p>
            <w:pPr>
              <w:rPr>
                <w:rFonts w:ascii="仿宋" w:hAnsi="仿宋" w:eastAsia="仿宋"/>
                <w:szCs w:val="21"/>
              </w:rPr>
            </w:pPr>
          </w:p>
        </w:tc>
        <w:tc>
          <w:tcPr>
            <w:tcW w:w="1815" w:type="dxa"/>
            <w:vMerge w:val="continue"/>
            <w:vAlign w:val="center"/>
          </w:tcPr>
          <w:p>
            <w:pPr>
              <w:rPr>
                <w:rFonts w:ascii="仿宋" w:hAnsi="仿宋" w:eastAsia="仿宋"/>
                <w:szCs w:val="21"/>
              </w:rPr>
            </w:pPr>
          </w:p>
        </w:tc>
        <w:tc>
          <w:tcPr>
            <w:tcW w:w="992" w:type="dxa"/>
            <w:vMerge w:val="continue"/>
            <w:vAlign w:val="center"/>
          </w:tcPr>
          <w:p>
            <w:pPr>
              <w:rPr>
                <w:rFonts w:ascii="仿宋" w:hAnsi="仿宋" w:eastAsia="仿宋"/>
                <w:szCs w:val="21"/>
              </w:rPr>
            </w:pPr>
          </w:p>
        </w:tc>
        <w:tc>
          <w:tcPr>
            <w:tcW w:w="1984" w:type="dxa"/>
            <w:vAlign w:val="center"/>
          </w:tcPr>
          <w:p>
            <w:pPr>
              <w:rPr>
                <w:rFonts w:ascii="仿宋" w:hAnsi="仿宋" w:eastAsia="仿宋"/>
                <w:szCs w:val="21"/>
              </w:rPr>
            </w:pPr>
            <w:r>
              <w:rPr>
                <w:rFonts w:hint="eastAsia" w:ascii="仿宋" w:hAnsi="仿宋" w:eastAsia="仿宋"/>
                <w:szCs w:val="21"/>
              </w:rPr>
              <w:t>抵御风沙</w:t>
            </w:r>
          </w:p>
        </w:tc>
        <w:tc>
          <w:tcPr>
            <w:tcW w:w="709" w:type="dxa"/>
            <w:vAlign w:val="center"/>
          </w:tcPr>
          <w:p>
            <w:pPr>
              <w:jc w:val="center"/>
              <w:rPr>
                <w:rFonts w:ascii="仿宋" w:hAnsi="仿宋" w:eastAsia="仿宋" w:cs="宋体"/>
                <w:szCs w:val="21"/>
              </w:rPr>
            </w:pPr>
            <w:r>
              <w:rPr>
                <w:rFonts w:hint="eastAsia" w:ascii="仿宋" w:hAnsi="仿宋" w:eastAsia="仿宋"/>
                <w:szCs w:val="21"/>
              </w:rPr>
              <w:t>2</w:t>
            </w:r>
          </w:p>
        </w:tc>
        <w:tc>
          <w:tcPr>
            <w:tcW w:w="702" w:type="dxa"/>
            <w:vAlign w:val="center"/>
          </w:tcPr>
          <w:p>
            <w:pPr>
              <w:jc w:val="center"/>
              <w:rPr>
                <w:rFonts w:ascii="仿宋" w:hAnsi="仿宋" w:eastAsia="仿宋"/>
                <w:szCs w:val="21"/>
              </w:rPr>
            </w:pPr>
            <w:r>
              <w:rPr>
                <w:rFonts w:hint="eastAsia" w:ascii="仿宋" w:hAnsi="仿宋" w:eastAsia="仿宋"/>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136" w:type="dxa"/>
            <w:vMerge w:val="continue"/>
            <w:vAlign w:val="center"/>
          </w:tcPr>
          <w:p>
            <w:pPr>
              <w:jc w:val="center"/>
              <w:rPr>
                <w:rFonts w:ascii="仿宋" w:hAnsi="仿宋" w:eastAsia="仿宋"/>
                <w:szCs w:val="21"/>
              </w:rPr>
            </w:pPr>
          </w:p>
        </w:tc>
        <w:tc>
          <w:tcPr>
            <w:tcW w:w="720" w:type="dxa"/>
            <w:vMerge w:val="continue"/>
            <w:vAlign w:val="center"/>
          </w:tcPr>
          <w:p>
            <w:pPr>
              <w:rPr>
                <w:rFonts w:ascii="仿宋" w:hAnsi="仿宋" w:eastAsia="仿宋"/>
                <w:szCs w:val="21"/>
              </w:rPr>
            </w:pPr>
          </w:p>
        </w:tc>
        <w:tc>
          <w:tcPr>
            <w:tcW w:w="1815" w:type="dxa"/>
            <w:vAlign w:val="center"/>
          </w:tcPr>
          <w:p>
            <w:pPr>
              <w:rPr>
                <w:rFonts w:ascii="仿宋" w:hAnsi="仿宋" w:eastAsia="仿宋"/>
                <w:szCs w:val="21"/>
              </w:rPr>
            </w:pPr>
            <w:r>
              <w:rPr>
                <w:rFonts w:hint="eastAsia" w:ascii="仿宋" w:hAnsi="仿宋" w:eastAsia="仿宋"/>
                <w:szCs w:val="21"/>
              </w:rPr>
              <w:t>服务对象满意度</w:t>
            </w:r>
          </w:p>
        </w:tc>
        <w:tc>
          <w:tcPr>
            <w:tcW w:w="992" w:type="dxa"/>
            <w:vAlign w:val="center"/>
          </w:tcPr>
          <w:p>
            <w:pPr>
              <w:jc w:val="center"/>
              <w:rPr>
                <w:rFonts w:ascii="仿宋" w:hAnsi="仿宋" w:eastAsia="仿宋"/>
                <w:szCs w:val="21"/>
              </w:rPr>
            </w:pPr>
            <w:r>
              <w:rPr>
                <w:rFonts w:hint="eastAsia" w:ascii="仿宋" w:hAnsi="仿宋" w:eastAsia="仿宋"/>
                <w:szCs w:val="21"/>
              </w:rPr>
              <w:t>10</w:t>
            </w:r>
          </w:p>
        </w:tc>
        <w:tc>
          <w:tcPr>
            <w:tcW w:w="1984" w:type="dxa"/>
            <w:vAlign w:val="center"/>
          </w:tcPr>
          <w:p>
            <w:pPr>
              <w:rPr>
                <w:rFonts w:ascii="仿宋" w:hAnsi="仿宋" w:eastAsia="仿宋" w:cs="宋体"/>
                <w:szCs w:val="21"/>
              </w:rPr>
            </w:pPr>
            <w:r>
              <w:rPr>
                <w:rFonts w:hint="eastAsia" w:ascii="仿宋" w:hAnsi="仿宋" w:eastAsia="仿宋"/>
                <w:szCs w:val="21"/>
              </w:rPr>
              <w:t>受益群众满意度</w:t>
            </w:r>
          </w:p>
        </w:tc>
        <w:tc>
          <w:tcPr>
            <w:tcW w:w="709" w:type="dxa"/>
            <w:vAlign w:val="center"/>
          </w:tcPr>
          <w:p>
            <w:pPr>
              <w:jc w:val="center"/>
              <w:rPr>
                <w:rFonts w:ascii="仿宋" w:hAnsi="仿宋" w:eastAsia="仿宋" w:cs="宋体"/>
                <w:szCs w:val="21"/>
              </w:rPr>
            </w:pPr>
            <w:r>
              <w:rPr>
                <w:rFonts w:hint="eastAsia" w:ascii="仿宋" w:hAnsi="仿宋" w:eastAsia="仿宋"/>
                <w:szCs w:val="21"/>
              </w:rPr>
              <w:t>10</w:t>
            </w:r>
          </w:p>
        </w:tc>
        <w:tc>
          <w:tcPr>
            <w:tcW w:w="702" w:type="dxa"/>
            <w:vAlign w:val="center"/>
          </w:tcPr>
          <w:p>
            <w:pPr>
              <w:jc w:val="center"/>
              <w:rPr>
                <w:rFonts w:ascii="仿宋" w:hAnsi="仿宋" w:eastAsia="仿宋"/>
                <w:szCs w:val="21"/>
              </w:rPr>
            </w:pPr>
            <w:r>
              <w:rPr>
                <w:rFonts w:hint="eastAsia" w:ascii="仿宋" w:hAnsi="仿宋" w:eastAsia="仿宋"/>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36" w:type="dxa"/>
            <w:vMerge w:val="continue"/>
            <w:vAlign w:val="center"/>
          </w:tcPr>
          <w:p>
            <w:pPr>
              <w:jc w:val="center"/>
              <w:rPr>
                <w:rFonts w:ascii="仿宋" w:hAnsi="仿宋" w:eastAsia="仿宋"/>
                <w:szCs w:val="21"/>
              </w:rPr>
            </w:pPr>
          </w:p>
        </w:tc>
        <w:tc>
          <w:tcPr>
            <w:tcW w:w="720" w:type="dxa"/>
            <w:vMerge w:val="continue"/>
            <w:vAlign w:val="center"/>
          </w:tcPr>
          <w:p>
            <w:pPr>
              <w:rPr>
                <w:rFonts w:ascii="仿宋" w:hAnsi="仿宋" w:eastAsia="仿宋"/>
                <w:szCs w:val="21"/>
              </w:rPr>
            </w:pPr>
          </w:p>
        </w:tc>
        <w:tc>
          <w:tcPr>
            <w:tcW w:w="1815" w:type="dxa"/>
            <w:vAlign w:val="center"/>
          </w:tcPr>
          <w:p>
            <w:pPr>
              <w:rPr>
                <w:rFonts w:ascii="仿宋" w:hAnsi="仿宋" w:eastAsia="仿宋"/>
                <w:szCs w:val="21"/>
              </w:rPr>
            </w:pPr>
            <w:r>
              <w:rPr>
                <w:rFonts w:hint="eastAsia" w:ascii="仿宋" w:hAnsi="仿宋" w:eastAsia="仿宋"/>
                <w:szCs w:val="21"/>
              </w:rPr>
              <w:t>可持续影响</w:t>
            </w:r>
          </w:p>
        </w:tc>
        <w:tc>
          <w:tcPr>
            <w:tcW w:w="992" w:type="dxa"/>
            <w:vAlign w:val="center"/>
          </w:tcPr>
          <w:p>
            <w:pPr>
              <w:jc w:val="center"/>
              <w:rPr>
                <w:rFonts w:ascii="仿宋" w:hAnsi="仿宋" w:eastAsia="仿宋"/>
                <w:szCs w:val="21"/>
              </w:rPr>
            </w:pPr>
            <w:r>
              <w:rPr>
                <w:rFonts w:hint="eastAsia" w:ascii="仿宋" w:hAnsi="仿宋" w:eastAsia="仿宋"/>
                <w:szCs w:val="21"/>
              </w:rPr>
              <w:t>6</w:t>
            </w:r>
          </w:p>
        </w:tc>
        <w:tc>
          <w:tcPr>
            <w:tcW w:w="1984" w:type="dxa"/>
            <w:vAlign w:val="center"/>
          </w:tcPr>
          <w:p>
            <w:pPr>
              <w:rPr>
                <w:rFonts w:ascii="仿宋" w:hAnsi="仿宋" w:eastAsia="仿宋" w:cs="宋体"/>
                <w:szCs w:val="21"/>
              </w:rPr>
            </w:pPr>
            <w:r>
              <w:rPr>
                <w:rFonts w:hint="eastAsia" w:ascii="仿宋" w:hAnsi="仿宋" w:eastAsia="仿宋"/>
                <w:szCs w:val="21"/>
              </w:rPr>
              <w:t>长效管护机制情况</w:t>
            </w:r>
          </w:p>
        </w:tc>
        <w:tc>
          <w:tcPr>
            <w:tcW w:w="709" w:type="dxa"/>
            <w:vAlign w:val="center"/>
          </w:tcPr>
          <w:p>
            <w:pPr>
              <w:jc w:val="center"/>
              <w:rPr>
                <w:rFonts w:ascii="仿宋" w:hAnsi="仿宋" w:eastAsia="仿宋" w:cs="宋体"/>
                <w:szCs w:val="21"/>
              </w:rPr>
            </w:pPr>
            <w:r>
              <w:rPr>
                <w:rFonts w:hint="eastAsia" w:ascii="仿宋" w:hAnsi="仿宋" w:eastAsia="仿宋"/>
                <w:szCs w:val="21"/>
              </w:rPr>
              <w:t>6</w:t>
            </w:r>
          </w:p>
        </w:tc>
        <w:tc>
          <w:tcPr>
            <w:tcW w:w="702" w:type="dxa"/>
            <w:vAlign w:val="center"/>
          </w:tcPr>
          <w:p>
            <w:pPr>
              <w:jc w:val="center"/>
              <w:rPr>
                <w:rFonts w:ascii="仿宋" w:hAnsi="仿宋" w:eastAsia="仿宋"/>
                <w:szCs w:val="21"/>
              </w:rPr>
            </w:pPr>
            <w:r>
              <w:rPr>
                <w:rFonts w:ascii="仿宋" w:hAnsi="仿宋" w:eastAsia="仿宋"/>
                <w:szCs w:val="21"/>
              </w:rPr>
              <w:t>4</w:t>
            </w:r>
          </w:p>
        </w:tc>
      </w:tr>
    </w:tbl>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s="宋体"/>
          <w:color w:val="000000"/>
          <w:sz w:val="30"/>
          <w:szCs w:val="30"/>
        </w:rPr>
        <w:t>（</w:t>
      </w:r>
      <w:r>
        <w:rPr>
          <w:rFonts w:ascii="仿宋" w:hAnsi="仿宋" w:eastAsia="仿宋"/>
          <w:color w:val="000000"/>
          <w:sz w:val="30"/>
          <w:szCs w:val="30"/>
        </w:rPr>
        <w:t>1</w:t>
      </w:r>
      <w:r>
        <w:rPr>
          <w:rFonts w:hint="eastAsia" w:ascii="仿宋" w:hAnsi="仿宋" w:eastAsia="仿宋" w:cs="宋体"/>
          <w:color w:val="000000"/>
          <w:sz w:val="30"/>
          <w:szCs w:val="30"/>
        </w:rPr>
        <w:t>）</w:t>
      </w:r>
      <w:r>
        <w:rPr>
          <w:rFonts w:hint="eastAsia" w:ascii="仿宋" w:hAnsi="仿宋" w:eastAsia="仿宋"/>
          <w:color w:val="000000"/>
          <w:sz w:val="30"/>
          <w:szCs w:val="30"/>
        </w:rPr>
        <w:t>生态效益</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经现场调查以及实地走访，项目实施后在森林覆盖率、改善气候、净化空气、降低噪声、抵御风沙等方便都起到了很好的效果，一定程度上改善了周边区域的生态环境。</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根据向周边群众发放并收回的满意度调查问卷统计计算，生态效益类指标</w:t>
      </w:r>
      <w:r>
        <w:rPr>
          <w:rFonts w:ascii="仿宋" w:hAnsi="仿宋" w:eastAsia="仿宋"/>
          <w:color w:val="000000"/>
          <w:sz w:val="30"/>
          <w:szCs w:val="30"/>
        </w:rPr>
        <w:t>满分</w:t>
      </w:r>
      <w:r>
        <w:rPr>
          <w:rFonts w:hint="eastAsia" w:ascii="仿宋" w:hAnsi="仿宋" w:eastAsia="仿宋"/>
          <w:color w:val="000000"/>
          <w:sz w:val="30"/>
          <w:szCs w:val="30"/>
        </w:rPr>
        <w:t>10</w:t>
      </w:r>
      <w:r>
        <w:rPr>
          <w:rFonts w:ascii="仿宋" w:hAnsi="仿宋" w:eastAsia="仿宋"/>
          <w:color w:val="000000"/>
          <w:sz w:val="30"/>
          <w:szCs w:val="30"/>
        </w:rPr>
        <w:t>分，得分</w:t>
      </w:r>
      <w:r>
        <w:rPr>
          <w:rFonts w:hint="eastAsia" w:ascii="仿宋" w:hAnsi="仿宋" w:eastAsia="仿宋"/>
          <w:color w:val="000000"/>
          <w:sz w:val="30"/>
          <w:szCs w:val="30"/>
        </w:rPr>
        <w:t>8.50</w:t>
      </w:r>
      <w:r>
        <w:rPr>
          <w:rFonts w:ascii="仿宋" w:hAnsi="仿宋" w:eastAsia="仿宋"/>
          <w:color w:val="000000"/>
          <w:sz w:val="30"/>
          <w:szCs w:val="30"/>
        </w:rPr>
        <w:t>分。</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（2）服务对象满意度</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在评价组实地调研期间，通过发放问卷、进入当地走访了解到，周边群众表示，大南山百公里廊道项目实施后在一定程度上改善了气候、净化了空气、降低了噪声、抵御了风沙，受益群众对该项目的总体满意度为76%。</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满分10分，得分6分。</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（3）可持续影响</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项目单位对全区的林业工作都明确了具体的要求，如在林木补植补栽、树木修剪涂白、地表清理及树盘整治、抚育养护等方面都做了详细的规定，但没有做到制度上墙，未形成一套完整有效的后续维护管护制度。</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由于南山特殊的气候特点，风沙大，土壤沙石化严重，干旱缺水，项目单位认为工程在达到合同管护期后，苗木根系生长尚达不到抗旱要求，故提请盐湖区政府常务会议审议延长南山区域林业工程苗木管护期事宜，根据运城市盐湖区人民政府常务会议纪要（〔2020〕8次）精神，会议议定，原则同意延长皂荚创新科技示范园工程管护期3年，每年结算一次，管护资金按照450元/亩/年的标准，根据实际管护面积予以拨付（根据盐湖区财政投资评审中心2020年7月24日出具的《2020年南山区域林业工程苗木管护项目预算评审报告》，管护资金确定为不超过430元/亩/年的标准）；盐湖区林业局要进一步研究南山区域及通道绿化等林木管护机制，提升生态建设质量，确保栽植一片、成活一片、绿化一片、不断提高盐湖区森林覆盖率。</w:t>
      </w:r>
    </w:p>
    <w:p>
      <w:pPr>
        <w:tabs>
          <w:tab w:val="left" w:pos="1182"/>
        </w:tabs>
        <w:spacing w:line="6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荒滩绿化工程、全民义务植树基地建设工程目前尚在管护期，由施工单位负责维护。</w:t>
      </w:r>
    </w:p>
    <w:p>
      <w:pPr>
        <w:tabs>
          <w:tab w:val="left" w:pos="1182"/>
        </w:tabs>
        <w:spacing w:line="600" w:lineRule="exact"/>
        <w:ind w:firstLine="600" w:firstLineChars="200"/>
        <w:rPr>
          <w:rFonts w:ascii="仿宋" w:hAnsi="仿宋" w:eastAsia="仿宋"/>
          <w:color w:val="000000"/>
          <w:sz w:val="30"/>
          <w:szCs w:val="30"/>
        </w:rPr>
      </w:pPr>
      <w:r>
        <w:rPr>
          <w:rFonts w:ascii="仿宋" w:hAnsi="仿宋" w:eastAsia="仿宋"/>
          <w:color w:val="000000"/>
          <w:sz w:val="30"/>
          <w:szCs w:val="30"/>
        </w:rPr>
        <w:t>满分</w:t>
      </w:r>
      <w:r>
        <w:rPr>
          <w:rFonts w:hint="eastAsia" w:ascii="仿宋" w:hAnsi="仿宋" w:eastAsia="仿宋"/>
          <w:color w:val="000000"/>
          <w:sz w:val="30"/>
          <w:szCs w:val="30"/>
        </w:rPr>
        <w:t>6</w:t>
      </w:r>
      <w:r>
        <w:rPr>
          <w:rFonts w:ascii="仿宋" w:hAnsi="仿宋" w:eastAsia="仿宋"/>
          <w:color w:val="000000"/>
          <w:sz w:val="30"/>
          <w:szCs w:val="30"/>
        </w:rPr>
        <w:t>分，得分</w:t>
      </w:r>
      <w:r>
        <w:rPr>
          <w:rFonts w:hint="eastAsia" w:ascii="仿宋" w:hAnsi="仿宋" w:eastAsia="仿宋"/>
          <w:color w:val="000000"/>
          <w:sz w:val="30"/>
          <w:szCs w:val="30"/>
        </w:rPr>
        <w:t>3</w:t>
      </w:r>
      <w:r>
        <w:rPr>
          <w:rFonts w:ascii="仿宋" w:hAnsi="仿宋" w:eastAsia="仿宋"/>
          <w:color w:val="000000"/>
          <w:sz w:val="30"/>
          <w:szCs w:val="30"/>
        </w:rPr>
        <w:t>分。</w:t>
      </w:r>
    </w:p>
    <w:p>
      <w:pPr>
        <w:pStyle w:val="2"/>
        <w:spacing w:before="0" w:after="0" w:line="360" w:lineRule="auto"/>
        <w:ind w:firstLine="602" w:firstLineChars="200"/>
        <w:rPr>
          <w:rFonts w:ascii="仿宋" w:hAnsi="仿宋" w:eastAsia="仿宋"/>
          <w:bCs w:val="0"/>
          <w:color w:val="000000"/>
          <w:sz w:val="30"/>
          <w:szCs w:val="30"/>
        </w:rPr>
      </w:pPr>
      <w:bookmarkStart w:id="17" w:name="_Toc24633801"/>
      <w:r>
        <w:rPr>
          <w:rFonts w:hint="eastAsia" w:ascii="仿宋" w:hAnsi="仿宋" w:eastAsia="仿宋"/>
          <w:bCs w:val="0"/>
          <w:color w:val="000000"/>
          <w:sz w:val="30"/>
          <w:szCs w:val="30"/>
        </w:rPr>
        <w:t>四、绩效评价结果应用建议</w:t>
      </w:r>
      <w:bookmarkEnd w:id="17"/>
    </w:p>
    <w:p>
      <w:pPr>
        <w:pStyle w:val="3"/>
        <w:spacing w:before="0" w:after="0" w:line="360" w:lineRule="auto"/>
        <w:ind w:firstLine="602" w:firstLineChars="200"/>
        <w:rPr>
          <w:rFonts w:ascii="仿宋" w:hAnsi="仿宋" w:eastAsia="仿宋"/>
          <w:color w:val="000000"/>
          <w:sz w:val="30"/>
          <w:szCs w:val="30"/>
        </w:rPr>
      </w:pPr>
      <w:bookmarkStart w:id="18" w:name="_Toc24633802"/>
      <w:r>
        <w:rPr>
          <w:rFonts w:ascii="仿宋" w:hAnsi="仿宋" w:eastAsia="仿宋"/>
          <w:color w:val="000000"/>
          <w:sz w:val="30"/>
          <w:szCs w:val="30"/>
        </w:rPr>
        <w:t>（一）</w:t>
      </w:r>
      <w:r>
        <w:rPr>
          <w:rFonts w:hint="eastAsia" w:ascii="仿宋" w:hAnsi="仿宋" w:eastAsia="仿宋"/>
          <w:color w:val="000000"/>
          <w:sz w:val="30"/>
          <w:szCs w:val="30"/>
        </w:rPr>
        <w:t>及时公开</w:t>
      </w:r>
      <w:r>
        <w:rPr>
          <w:rFonts w:ascii="仿宋" w:hAnsi="仿宋" w:eastAsia="仿宋"/>
          <w:color w:val="000000"/>
          <w:sz w:val="30"/>
          <w:szCs w:val="30"/>
        </w:rPr>
        <w:t>绩效评价结果</w:t>
      </w:r>
      <w:bookmarkEnd w:id="18"/>
    </w:p>
    <w:p>
      <w:pPr>
        <w:pStyle w:val="28"/>
        <w:ind w:firstLine="600"/>
        <w:rPr>
          <w:rFonts w:ascii="仿宋" w:hAnsi="仿宋" w:eastAsia="仿宋"/>
          <w:sz w:val="30"/>
          <w:szCs w:val="30"/>
        </w:rPr>
      </w:pPr>
      <w:r>
        <w:rPr>
          <w:rFonts w:ascii="仿宋" w:hAnsi="仿宋" w:eastAsia="仿宋"/>
          <w:sz w:val="30"/>
          <w:szCs w:val="30"/>
        </w:rPr>
        <w:t>建议将此次的绩效评价结果刊登于财政</w:t>
      </w:r>
      <w:r>
        <w:rPr>
          <w:rFonts w:hint="eastAsia" w:ascii="仿宋" w:hAnsi="仿宋" w:eastAsia="仿宋"/>
          <w:sz w:val="30"/>
          <w:szCs w:val="30"/>
        </w:rPr>
        <w:t>局</w:t>
      </w:r>
      <w:r>
        <w:rPr>
          <w:rFonts w:ascii="仿宋" w:hAnsi="仿宋" w:eastAsia="仿宋"/>
          <w:sz w:val="30"/>
          <w:szCs w:val="30"/>
        </w:rPr>
        <w:t>门户网站、相关报刊，予以公开，引起项目单位与社会各界相关方面的重视。</w:t>
      </w:r>
    </w:p>
    <w:p>
      <w:pPr>
        <w:pStyle w:val="3"/>
        <w:spacing w:before="0" w:after="0" w:line="360" w:lineRule="auto"/>
        <w:ind w:firstLine="602" w:firstLineChars="200"/>
        <w:rPr>
          <w:rFonts w:ascii="仿宋" w:hAnsi="仿宋" w:eastAsia="仿宋"/>
          <w:color w:val="000000"/>
          <w:sz w:val="30"/>
          <w:szCs w:val="30"/>
        </w:rPr>
      </w:pPr>
      <w:bookmarkStart w:id="19" w:name="_Toc24633803"/>
      <w:r>
        <w:rPr>
          <w:rFonts w:ascii="仿宋" w:hAnsi="仿宋" w:eastAsia="仿宋"/>
          <w:color w:val="000000"/>
          <w:sz w:val="30"/>
          <w:szCs w:val="30"/>
        </w:rPr>
        <w:t>（二）</w:t>
      </w:r>
      <w:r>
        <w:rPr>
          <w:rFonts w:hint="eastAsia" w:ascii="仿宋" w:hAnsi="仿宋" w:eastAsia="仿宋"/>
          <w:color w:val="000000"/>
          <w:sz w:val="30"/>
          <w:szCs w:val="30"/>
        </w:rPr>
        <w:t>加强督促，落实整改措施</w:t>
      </w:r>
      <w:bookmarkEnd w:id="19"/>
    </w:p>
    <w:p>
      <w:pPr>
        <w:pStyle w:val="28"/>
        <w:ind w:firstLine="600"/>
        <w:rPr>
          <w:rFonts w:ascii="仿宋" w:hAnsi="仿宋" w:eastAsia="仿宋"/>
          <w:sz w:val="30"/>
          <w:szCs w:val="30"/>
        </w:rPr>
      </w:pPr>
      <w:r>
        <w:rPr>
          <w:rFonts w:ascii="仿宋" w:hAnsi="仿宋" w:eastAsia="仿宋" w:cs="??_GB2312"/>
          <w:kern w:val="0"/>
          <w:sz w:val="30"/>
          <w:szCs w:val="30"/>
        </w:rPr>
        <w:t>针对</w:t>
      </w:r>
      <w:r>
        <w:rPr>
          <w:rFonts w:hint="eastAsia" w:ascii="仿宋" w:hAnsi="仿宋" w:eastAsia="仿宋" w:cs="??_GB2312"/>
          <w:kern w:val="0"/>
          <w:sz w:val="30"/>
          <w:szCs w:val="30"/>
        </w:rPr>
        <w:t>本次评价工作提出的</w:t>
      </w:r>
      <w:r>
        <w:rPr>
          <w:rFonts w:ascii="仿宋" w:hAnsi="仿宋" w:eastAsia="仿宋" w:cs="??_GB2312"/>
          <w:kern w:val="0"/>
          <w:sz w:val="30"/>
          <w:szCs w:val="30"/>
        </w:rPr>
        <w:t>问题</w:t>
      </w:r>
      <w:r>
        <w:rPr>
          <w:rFonts w:hint="eastAsia" w:ascii="仿宋" w:hAnsi="仿宋" w:eastAsia="仿宋" w:cs="??_GB2312"/>
          <w:kern w:val="0"/>
          <w:sz w:val="30"/>
          <w:szCs w:val="30"/>
        </w:rPr>
        <w:t>，</w:t>
      </w:r>
      <w:r>
        <w:rPr>
          <w:rFonts w:ascii="仿宋" w:hAnsi="仿宋" w:eastAsia="仿宋" w:cs="??_GB2312"/>
          <w:kern w:val="0"/>
          <w:sz w:val="30"/>
          <w:szCs w:val="30"/>
        </w:rPr>
        <w:t>督促有关各方完善管理</w:t>
      </w:r>
      <w:r>
        <w:rPr>
          <w:rFonts w:hint="eastAsia" w:ascii="仿宋" w:hAnsi="仿宋" w:eastAsia="仿宋" w:cs="??_GB2312"/>
          <w:kern w:val="0"/>
          <w:sz w:val="30"/>
          <w:szCs w:val="30"/>
        </w:rPr>
        <w:t>，落实整改措施。</w:t>
      </w:r>
    </w:p>
    <w:p>
      <w:pPr>
        <w:pStyle w:val="3"/>
        <w:spacing w:before="0" w:after="0" w:line="360" w:lineRule="auto"/>
        <w:ind w:firstLine="602" w:firstLineChars="200"/>
        <w:rPr>
          <w:rFonts w:ascii="仿宋" w:hAnsi="仿宋" w:eastAsia="仿宋"/>
          <w:color w:val="000000"/>
          <w:sz w:val="30"/>
          <w:szCs w:val="30"/>
        </w:rPr>
      </w:pPr>
      <w:bookmarkStart w:id="20" w:name="_Toc24633804"/>
      <w:r>
        <w:rPr>
          <w:rFonts w:hint="eastAsia" w:ascii="仿宋" w:hAnsi="仿宋" w:eastAsia="仿宋" w:cs="宋体"/>
          <w:color w:val="000000"/>
          <w:sz w:val="30"/>
          <w:szCs w:val="30"/>
        </w:rPr>
        <w:t>（</w:t>
      </w:r>
      <w:r>
        <w:rPr>
          <w:rFonts w:ascii="仿宋" w:hAnsi="仿宋" w:eastAsia="仿宋"/>
          <w:color w:val="000000"/>
          <w:sz w:val="30"/>
          <w:szCs w:val="30"/>
        </w:rPr>
        <w:t>三</w:t>
      </w:r>
      <w:r>
        <w:rPr>
          <w:rFonts w:hint="eastAsia" w:ascii="仿宋" w:hAnsi="仿宋" w:eastAsia="仿宋" w:cs="宋体"/>
          <w:color w:val="000000"/>
          <w:sz w:val="30"/>
          <w:szCs w:val="30"/>
        </w:rPr>
        <w:t>）</w:t>
      </w:r>
      <w:r>
        <w:rPr>
          <w:rFonts w:hint="eastAsia" w:ascii="仿宋" w:hAnsi="仿宋" w:eastAsia="仿宋"/>
          <w:color w:val="000000"/>
          <w:sz w:val="30"/>
          <w:szCs w:val="30"/>
        </w:rPr>
        <w:t>强化</w:t>
      </w:r>
      <w:r>
        <w:rPr>
          <w:rFonts w:ascii="仿宋" w:hAnsi="仿宋" w:eastAsia="仿宋"/>
          <w:color w:val="000000"/>
          <w:sz w:val="30"/>
          <w:szCs w:val="30"/>
        </w:rPr>
        <w:t>评价结果</w:t>
      </w:r>
      <w:r>
        <w:rPr>
          <w:rFonts w:hint="eastAsia" w:ascii="仿宋" w:hAnsi="仿宋" w:eastAsia="仿宋"/>
          <w:color w:val="000000"/>
          <w:sz w:val="30"/>
          <w:szCs w:val="30"/>
        </w:rPr>
        <w:t>应用</w:t>
      </w:r>
      <w:bookmarkEnd w:id="20"/>
    </w:p>
    <w:p>
      <w:pPr>
        <w:pStyle w:val="28"/>
        <w:ind w:firstLine="600"/>
        <w:rPr>
          <w:rFonts w:ascii="仿宋" w:hAnsi="仿宋" w:eastAsia="仿宋"/>
          <w:sz w:val="30"/>
          <w:szCs w:val="30"/>
        </w:rPr>
      </w:pPr>
      <w:r>
        <w:rPr>
          <w:rFonts w:hint="eastAsia" w:ascii="仿宋" w:hAnsi="仿宋" w:eastAsia="仿宋"/>
          <w:sz w:val="30"/>
          <w:szCs w:val="30"/>
        </w:rPr>
        <w:t>应把本次评价结果</w:t>
      </w:r>
      <w:r>
        <w:rPr>
          <w:rFonts w:ascii="仿宋" w:hAnsi="仿宋" w:eastAsia="仿宋"/>
          <w:sz w:val="30"/>
          <w:szCs w:val="30"/>
        </w:rPr>
        <w:t>作为今后</w:t>
      </w:r>
      <w:r>
        <w:rPr>
          <w:rFonts w:hint="eastAsia" w:ascii="仿宋" w:hAnsi="仿宋" w:eastAsia="仿宋"/>
          <w:sz w:val="30"/>
          <w:szCs w:val="30"/>
        </w:rPr>
        <w:t>这一类资金</w:t>
      </w:r>
      <w:r>
        <w:rPr>
          <w:rFonts w:ascii="仿宋" w:hAnsi="仿宋" w:eastAsia="仿宋"/>
          <w:sz w:val="30"/>
          <w:szCs w:val="30"/>
        </w:rPr>
        <w:t>预算安排的重要</w:t>
      </w:r>
      <w:r>
        <w:rPr>
          <w:rFonts w:hint="eastAsia" w:ascii="仿宋" w:hAnsi="仿宋" w:eastAsia="仿宋"/>
          <w:sz w:val="30"/>
          <w:szCs w:val="30"/>
        </w:rPr>
        <w:t>参考</w:t>
      </w:r>
      <w:r>
        <w:rPr>
          <w:rFonts w:ascii="仿宋" w:hAnsi="仿宋" w:eastAsia="仿宋"/>
          <w:sz w:val="30"/>
          <w:szCs w:val="30"/>
        </w:rPr>
        <w:t>依据</w:t>
      </w:r>
      <w:r>
        <w:rPr>
          <w:rFonts w:hint="eastAsia" w:ascii="仿宋" w:hAnsi="仿宋" w:eastAsia="仿宋"/>
          <w:sz w:val="30"/>
          <w:szCs w:val="30"/>
        </w:rPr>
        <w:t>。</w:t>
      </w:r>
    </w:p>
    <w:p>
      <w:pPr>
        <w:pStyle w:val="3"/>
        <w:spacing w:before="0" w:after="0" w:line="360" w:lineRule="auto"/>
        <w:ind w:firstLine="602" w:firstLineChars="200"/>
        <w:rPr>
          <w:rFonts w:ascii="仿宋" w:hAnsi="仿宋" w:eastAsia="仿宋"/>
          <w:color w:val="000000"/>
          <w:sz w:val="30"/>
          <w:szCs w:val="30"/>
        </w:rPr>
      </w:pPr>
      <w:bookmarkStart w:id="21" w:name="_Toc24633805"/>
      <w:r>
        <w:rPr>
          <w:rFonts w:ascii="仿宋" w:hAnsi="仿宋" w:eastAsia="仿宋"/>
          <w:color w:val="000000"/>
          <w:sz w:val="30"/>
          <w:szCs w:val="30"/>
        </w:rPr>
        <w:t>（四）</w:t>
      </w:r>
      <w:r>
        <w:rPr>
          <w:rFonts w:hint="eastAsia" w:ascii="仿宋" w:hAnsi="仿宋" w:eastAsia="仿宋"/>
          <w:color w:val="000000"/>
          <w:sz w:val="30"/>
          <w:szCs w:val="30"/>
        </w:rPr>
        <w:t>提高绩效评价认识</w:t>
      </w:r>
      <w:bookmarkEnd w:id="21"/>
    </w:p>
    <w:p>
      <w:pPr>
        <w:pStyle w:val="28"/>
        <w:ind w:firstLine="600"/>
        <w:rPr>
          <w:rFonts w:ascii="仿宋" w:hAnsi="仿宋" w:eastAsia="仿宋"/>
          <w:sz w:val="30"/>
          <w:szCs w:val="30"/>
        </w:rPr>
      </w:pPr>
      <w:r>
        <w:rPr>
          <w:rFonts w:ascii="仿宋" w:hAnsi="仿宋" w:eastAsia="仿宋"/>
          <w:sz w:val="30"/>
          <w:szCs w:val="30"/>
        </w:rPr>
        <w:t>在本次绩效评价过程中，评价组发现项目单位对绩效评价的了解还不够，认识不高。开展这次绩效评价为案例的宣传和培训，有利于更好地促进</w:t>
      </w:r>
      <w:r>
        <w:rPr>
          <w:rFonts w:hint="eastAsia" w:ascii="仿宋" w:hAnsi="仿宋" w:eastAsia="仿宋"/>
          <w:sz w:val="30"/>
          <w:szCs w:val="30"/>
        </w:rPr>
        <w:t>该项目</w:t>
      </w:r>
      <w:r>
        <w:rPr>
          <w:rFonts w:ascii="仿宋" w:hAnsi="仿宋" w:eastAsia="仿宋"/>
          <w:sz w:val="30"/>
          <w:szCs w:val="30"/>
        </w:rPr>
        <w:t>或其他与此项目接近的资金绩效评价工作的开展与实施。</w:t>
      </w:r>
    </w:p>
    <w:p>
      <w:pPr>
        <w:pStyle w:val="2"/>
        <w:spacing w:before="0" w:after="0" w:line="360" w:lineRule="auto"/>
        <w:ind w:firstLine="602" w:firstLineChars="200"/>
        <w:rPr>
          <w:rFonts w:ascii="仿宋" w:hAnsi="仿宋" w:eastAsia="仿宋"/>
          <w:bCs w:val="0"/>
          <w:color w:val="000000"/>
          <w:sz w:val="30"/>
          <w:szCs w:val="30"/>
        </w:rPr>
      </w:pPr>
      <w:bookmarkStart w:id="22" w:name="_Toc24633806"/>
      <w:r>
        <w:rPr>
          <w:rFonts w:hint="eastAsia" w:ascii="仿宋" w:hAnsi="仿宋" w:eastAsia="仿宋"/>
          <w:bCs w:val="0"/>
          <w:color w:val="000000"/>
          <w:sz w:val="30"/>
          <w:szCs w:val="30"/>
        </w:rPr>
        <w:t>五、主要经验及做法、存在的问题、建议</w:t>
      </w:r>
      <w:bookmarkEnd w:id="22"/>
    </w:p>
    <w:p>
      <w:pPr>
        <w:pStyle w:val="3"/>
        <w:tabs>
          <w:tab w:val="left" w:pos="2625"/>
        </w:tabs>
        <w:spacing w:before="0" w:after="0" w:line="360" w:lineRule="auto"/>
        <w:ind w:firstLine="602" w:firstLineChars="200"/>
        <w:rPr>
          <w:rFonts w:ascii="仿宋" w:hAnsi="仿宋" w:eastAsia="仿宋"/>
          <w:color w:val="000000"/>
          <w:sz w:val="30"/>
          <w:szCs w:val="30"/>
        </w:rPr>
      </w:pPr>
      <w:bookmarkStart w:id="23" w:name="_Toc24633807"/>
      <w:r>
        <w:rPr>
          <w:rFonts w:ascii="仿宋" w:hAnsi="仿宋" w:eastAsia="仿宋"/>
          <w:color w:val="000000"/>
          <w:sz w:val="30"/>
          <w:szCs w:val="30"/>
        </w:rPr>
        <w:t>（一）主要经验及做法</w:t>
      </w:r>
      <w:bookmarkEnd w:id="23"/>
    </w:p>
    <w:p>
      <w:pPr>
        <w:spacing w:line="600" w:lineRule="exact"/>
        <w:ind w:firstLine="600" w:firstLineChars="200"/>
        <w:rPr>
          <w:rFonts w:ascii="仿宋" w:hAnsi="仿宋" w:eastAsia="仿宋" w:cs="??_GB2312"/>
          <w:kern w:val="0"/>
          <w:sz w:val="30"/>
          <w:szCs w:val="30"/>
        </w:rPr>
      </w:pPr>
      <w:r>
        <w:rPr>
          <w:rFonts w:ascii="仿宋" w:hAnsi="仿宋" w:eastAsia="仿宋"/>
          <w:sz w:val="30"/>
          <w:szCs w:val="30"/>
        </w:rPr>
        <w:t xml:space="preserve">1. </w:t>
      </w:r>
      <w:r>
        <w:rPr>
          <w:rFonts w:hint="eastAsia" w:ascii="仿宋" w:hAnsi="仿宋" w:eastAsia="仿宋" w:cs="宋体"/>
          <w:kern w:val="0"/>
          <w:sz w:val="30"/>
          <w:szCs w:val="30"/>
        </w:rPr>
        <w:t>加强领导，强化项目组织保障。</w:t>
      </w:r>
    </w:p>
    <w:p>
      <w:pPr>
        <w:spacing w:line="600" w:lineRule="exact"/>
        <w:ind w:firstLine="600" w:firstLineChars="200"/>
        <w:rPr>
          <w:rFonts w:ascii="仿宋" w:hAnsi="仿宋" w:eastAsia="仿宋" w:cs="??_GB2312"/>
          <w:kern w:val="0"/>
          <w:sz w:val="30"/>
          <w:szCs w:val="30"/>
        </w:rPr>
      </w:pPr>
      <w:r>
        <w:rPr>
          <w:rFonts w:hint="eastAsia" w:ascii="仿宋" w:hAnsi="仿宋" w:eastAsia="仿宋" w:cs="宋体"/>
          <w:kern w:val="0"/>
          <w:sz w:val="30"/>
          <w:szCs w:val="30"/>
        </w:rPr>
        <w:t>工程从谋划、立项、建设都得到了运城市政府、盐湖区委区政府的高度重视，成立了运城市南山生态修复指挥部，把南山绿化作为全市绿化工作的龙头来抓，开展全民绿化行动。运城市南山生态修复指挥部负责项目的组织领导、联动协调、督促指导等工作，具体协调解决项目存在的困难与问题，市林业局、旅发委、果业发展中心、盐湖生态保护与开发中心、盐湖区政府及盐化集团等单位积极配合，为项目建设提供了坚强的组织保障。</w:t>
      </w:r>
    </w:p>
    <w:p>
      <w:pPr>
        <w:spacing w:line="600" w:lineRule="exact"/>
        <w:ind w:firstLine="600" w:firstLineChars="200"/>
        <w:rPr>
          <w:rFonts w:ascii="仿宋" w:hAnsi="仿宋" w:eastAsia="仿宋" w:cs="??_GB2312"/>
          <w:kern w:val="0"/>
          <w:sz w:val="30"/>
          <w:szCs w:val="30"/>
        </w:rPr>
      </w:pPr>
      <w:r>
        <w:rPr>
          <w:rFonts w:ascii="仿宋" w:hAnsi="仿宋" w:eastAsia="仿宋"/>
          <w:sz w:val="30"/>
          <w:szCs w:val="30"/>
        </w:rPr>
        <w:t xml:space="preserve">2. </w:t>
      </w:r>
      <w:r>
        <w:rPr>
          <w:rFonts w:hint="eastAsia" w:ascii="仿宋" w:hAnsi="仿宋" w:eastAsia="仿宋" w:cs="宋体"/>
          <w:kern w:val="0"/>
          <w:sz w:val="30"/>
          <w:szCs w:val="30"/>
        </w:rPr>
        <w:t>分工负责，互相支持，上下配合。</w:t>
      </w:r>
    </w:p>
    <w:p>
      <w:pPr>
        <w:spacing w:line="600" w:lineRule="exact"/>
        <w:ind w:firstLine="600" w:firstLineChars="200"/>
        <w:rPr>
          <w:rFonts w:ascii="仿宋" w:hAnsi="仿宋" w:eastAsia="仿宋" w:cs="??_GB2312"/>
          <w:kern w:val="0"/>
          <w:sz w:val="30"/>
          <w:szCs w:val="30"/>
        </w:rPr>
      </w:pPr>
      <w:r>
        <w:rPr>
          <w:rFonts w:hint="eastAsia" w:ascii="仿宋" w:hAnsi="仿宋" w:eastAsia="仿宋" w:cs="宋体"/>
          <w:kern w:val="0"/>
          <w:sz w:val="30"/>
          <w:szCs w:val="30"/>
        </w:rPr>
        <w:t>项目建设期间，运城市发改委、国土资源局、规划局、环保局、水务局、林业局等单位简化审批流程，加快前期工作审批办理，积极服务工程建设。项目所在的盐湖区政府、项目涉及的乡镇、村积极协调工程建设中与地方群众的利益问题。建设单位、施工单位、监理单位相互配合，相互支持，确保了工程顺利开展。</w:t>
      </w:r>
    </w:p>
    <w:p>
      <w:pPr>
        <w:pStyle w:val="3"/>
        <w:tabs>
          <w:tab w:val="left" w:pos="2625"/>
        </w:tabs>
        <w:spacing w:before="0" w:after="0" w:line="360" w:lineRule="auto"/>
        <w:ind w:firstLine="602" w:firstLineChars="200"/>
        <w:rPr>
          <w:rFonts w:ascii="仿宋" w:hAnsi="仿宋" w:eastAsia="仿宋"/>
          <w:color w:val="000000"/>
          <w:sz w:val="30"/>
          <w:szCs w:val="30"/>
        </w:rPr>
      </w:pPr>
      <w:bookmarkStart w:id="24" w:name="_Toc24633808"/>
      <w:r>
        <w:rPr>
          <w:rFonts w:ascii="仿宋" w:hAnsi="仿宋" w:eastAsia="仿宋"/>
          <w:color w:val="000000"/>
          <w:sz w:val="30"/>
          <w:szCs w:val="30"/>
        </w:rPr>
        <w:t>（二）存在的问题</w:t>
      </w:r>
      <w:bookmarkEnd w:id="24"/>
    </w:p>
    <w:p>
      <w:pPr>
        <w:pStyle w:val="28"/>
        <w:ind w:firstLine="6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 xml:space="preserve"> 财政报备资料不齐全，自评报告内容不完整。</w:t>
      </w:r>
    </w:p>
    <w:p>
      <w:pPr>
        <w:pStyle w:val="28"/>
        <w:ind w:firstLine="600"/>
        <w:rPr>
          <w:rFonts w:ascii="仿宋" w:hAnsi="仿宋" w:eastAsia="仿宋"/>
          <w:sz w:val="30"/>
          <w:szCs w:val="30"/>
        </w:rPr>
      </w:pPr>
      <w:r>
        <w:rPr>
          <w:rFonts w:hint="eastAsia" w:ascii="仿宋" w:hAnsi="仿宋" w:eastAsia="仿宋"/>
          <w:sz w:val="30"/>
          <w:szCs w:val="30"/>
        </w:rPr>
        <w:t>项目单位按要求申报了绩效目标，但缺少项目监控的相关制度。</w:t>
      </w:r>
    </w:p>
    <w:p>
      <w:pPr>
        <w:pStyle w:val="28"/>
        <w:ind w:firstLine="600"/>
        <w:rPr>
          <w:rFonts w:ascii="仿宋" w:hAnsi="仿宋" w:eastAsia="仿宋"/>
          <w:sz w:val="30"/>
          <w:szCs w:val="30"/>
          <w:highlight w:val="yellow"/>
        </w:rPr>
      </w:pPr>
      <w:r>
        <w:rPr>
          <w:rFonts w:hint="eastAsia" w:ascii="仿宋" w:hAnsi="仿宋" w:eastAsia="仿宋"/>
          <w:sz w:val="30"/>
          <w:szCs w:val="30"/>
        </w:rPr>
        <w:t>项目单位提供了自评报告，报告内容比较客观，基本反映了项目建设的全过程，但不够全面、完整，如缺少评价指标体系与自评得分等内容。</w:t>
      </w:r>
    </w:p>
    <w:p>
      <w:pPr>
        <w:pStyle w:val="28"/>
        <w:ind w:firstLine="600"/>
        <w:rPr>
          <w:rFonts w:ascii="仿宋" w:hAnsi="仿宋" w:eastAsia="仿宋" w:cs="??_GB2312"/>
          <w:kern w:val="0"/>
          <w:sz w:val="30"/>
          <w:szCs w:val="30"/>
        </w:rPr>
      </w:pPr>
      <w:r>
        <w:rPr>
          <w:rFonts w:hint="eastAsia" w:ascii="仿宋" w:hAnsi="仿宋" w:eastAsia="仿宋"/>
          <w:sz w:val="30"/>
          <w:szCs w:val="30"/>
        </w:rPr>
        <w:t>2</w:t>
      </w:r>
      <w:r>
        <w:rPr>
          <w:rFonts w:ascii="仿宋" w:hAnsi="仿宋" w:eastAsia="仿宋"/>
          <w:sz w:val="30"/>
          <w:szCs w:val="30"/>
        </w:rPr>
        <w:t xml:space="preserve">. </w:t>
      </w:r>
      <w:r>
        <w:rPr>
          <w:rFonts w:hint="eastAsia" w:ascii="仿宋" w:hAnsi="仿宋" w:eastAsia="仿宋" w:cs="??_GB2312"/>
          <w:kern w:val="0"/>
          <w:sz w:val="30"/>
          <w:szCs w:val="30"/>
        </w:rPr>
        <w:t>绩效目标不够明确、细化、不全面。</w:t>
      </w:r>
    </w:p>
    <w:p>
      <w:pPr>
        <w:pStyle w:val="28"/>
        <w:ind w:firstLine="600"/>
        <w:rPr>
          <w:rFonts w:ascii="仿宋" w:hAnsi="仿宋" w:eastAsia="仿宋" w:cs="??_GB2312"/>
          <w:kern w:val="0"/>
          <w:sz w:val="30"/>
          <w:szCs w:val="30"/>
        </w:rPr>
      </w:pPr>
      <w:r>
        <w:rPr>
          <w:rFonts w:hint="eastAsia" w:ascii="仿宋" w:hAnsi="仿宋" w:eastAsia="仿宋" w:cs="??_GB2312"/>
          <w:kern w:val="0"/>
          <w:sz w:val="30"/>
          <w:szCs w:val="30"/>
        </w:rPr>
        <w:t>项目单位设定了项目产出、项目效益指标，缺乏质量、时效性等指标；没有细化分解为清晰、可衡量的具体指标。</w:t>
      </w:r>
    </w:p>
    <w:p>
      <w:pPr>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3. 项目管理制度不健全。</w:t>
      </w:r>
    </w:p>
    <w:p>
      <w:pPr>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在工程建设中，项目单位严格落实了招投标制、工程监理制等制度，委托有资质的设计单位进行了设计，涉及变更的部分也按要求履行了变更程序。</w:t>
      </w:r>
    </w:p>
    <w:p>
      <w:pPr>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评价中发现，项目单位业务管理制度不够健全，如未制定合同管理制度、档案管理制度等。</w:t>
      </w:r>
    </w:p>
    <w:p>
      <w:pPr>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4.</w:t>
      </w:r>
      <w:r>
        <w:rPr>
          <w:rFonts w:hint="eastAsia" w:ascii="仿宋" w:hAnsi="仿宋" w:eastAsia="仿宋"/>
        </w:rPr>
        <w:t xml:space="preserve"> </w:t>
      </w:r>
      <w:r>
        <w:rPr>
          <w:rFonts w:hint="eastAsia" w:ascii="仿宋" w:hAnsi="仿宋" w:eastAsia="仿宋" w:cs="??_GB2312"/>
          <w:kern w:val="0"/>
          <w:sz w:val="30"/>
          <w:szCs w:val="30"/>
        </w:rPr>
        <w:t>可持续影响。</w:t>
      </w:r>
    </w:p>
    <w:p>
      <w:pPr>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项目单位对全区的林业工作都明确了具体的要求，如在林木补植补栽、树木修剪涂白、地表清理及树盘整治、抚育养护等方面都做了详细的规定，但没有做到制度上墙，未形成一套完整有效的后续维护管护制度，后续经费未完全落实。</w:t>
      </w:r>
    </w:p>
    <w:p>
      <w:pPr>
        <w:pStyle w:val="3"/>
        <w:tabs>
          <w:tab w:val="left" w:pos="2625"/>
        </w:tabs>
        <w:spacing w:before="0" w:after="0" w:line="360" w:lineRule="auto"/>
        <w:ind w:firstLine="602" w:firstLineChars="200"/>
        <w:rPr>
          <w:rFonts w:ascii="仿宋" w:hAnsi="仿宋" w:eastAsia="仿宋"/>
          <w:color w:val="000000"/>
          <w:sz w:val="30"/>
          <w:szCs w:val="30"/>
        </w:rPr>
      </w:pPr>
      <w:bookmarkStart w:id="25" w:name="_Toc24633809"/>
      <w:r>
        <w:rPr>
          <w:rFonts w:ascii="仿宋" w:hAnsi="仿宋" w:eastAsia="仿宋"/>
          <w:color w:val="000000"/>
          <w:sz w:val="30"/>
          <w:szCs w:val="30"/>
        </w:rPr>
        <w:t>（</w:t>
      </w:r>
      <w:r>
        <w:rPr>
          <w:rFonts w:hint="eastAsia" w:ascii="仿宋" w:hAnsi="仿宋" w:eastAsia="仿宋"/>
          <w:color w:val="000000"/>
          <w:sz w:val="30"/>
          <w:szCs w:val="30"/>
        </w:rPr>
        <w:t>三</w:t>
      </w:r>
      <w:r>
        <w:rPr>
          <w:rFonts w:ascii="仿宋" w:hAnsi="仿宋" w:eastAsia="仿宋"/>
          <w:color w:val="000000"/>
          <w:sz w:val="30"/>
          <w:szCs w:val="30"/>
        </w:rPr>
        <w:t>）建议</w:t>
      </w:r>
      <w:bookmarkEnd w:id="25"/>
    </w:p>
    <w:p>
      <w:pPr>
        <w:spacing w:line="600" w:lineRule="exact"/>
        <w:ind w:firstLine="600" w:firstLineChars="200"/>
        <w:rPr>
          <w:rFonts w:ascii="仿宋" w:hAnsi="仿宋" w:eastAsia="仿宋" w:cs="宋体"/>
          <w:kern w:val="0"/>
          <w:sz w:val="30"/>
          <w:szCs w:val="30"/>
        </w:rPr>
      </w:pPr>
      <w:r>
        <w:rPr>
          <w:rFonts w:ascii="仿宋" w:hAnsi="仿宋" w:eastAsia="仿宋"/>
          <w:sz w:val="30"/>
          <w:szCs w:val="30"/>
        </w:rPr>
        <w:t xml:space="preserve">1. </w:t>
      </w:r>
      <w:r>
        <w:rPr>
          <w:rFonts w:hint="eastAsia" w:ascii="仿宋" w:hAnsi="仿宋" w:eastAsia="仿宋" w:cs="宋体"/>
          <w:kern w:val="0"/>
          <w:sz w:val="30"/>
          <w:szCs w:val="30"/>
        </w:rPr>
        <w:t>按要求向财政部门报备绩效评价资料，开展绩效自评工作，并形成客观、真实、完整的自评报告。</w:t>
      </w:r>
    </w:p>
    <w:p>
      <w:pPr>
        <w:spacing w:line="600" w:lineRule="exact"/>
        <w:ind w:firstLine="600" w:firstLineChars="200"/>
        <w:rPr>
          <w:rFonts w:ascii="仿宋" w:hAnsi="仿宋" w:eastAsia="仿宋" w:cs="??_GB2312"/>
          <w:kern w:val="0"/>
          <w:sz w:val="30"/>
          <w:szCs w:val="30"/>
        </w:rPr>
      </w:pPr>
      <w:r>
        <w:rPr>
          <w:rFonts w:hint="eastAsia" w:ascii="仿宋" w:hAnsi="仿宋" w:eastAsia="仿宋" w:cs="宋体"/>
          <w:kern w:val="0"/>
          <w:sz w:val="30"/>
          <w:szCs w:val="30"/>
        </w:rPr>
        <w:t>项目单位应该根据财政部门下发的绩效评价文件要求，申报绩效评价资料，开展绩效自评工作，撰写自评报告，报告内容要做到客观、真实、完整，要能清晰的反应整个项目的建设全过程。</w:t>
      </w:r>
    </w:p>
    <w:p>
      <w:pPr>
        <w:spacing w:line="600" w:lineRule="exact"/>
        <w:ind w:firstLine="600" w:firstLineChars="200"/>
        <w:rPr>
          <w:rFonts w:ascii="仿宋" w:hAnsi="仿宋" w:eastAsia="仿宋" w:cs="??_GB2312"/>
          <w:kern w:val="0"/>
          <w:sz w:val="30"/>
          <w:szCs w:val="30"/>
        </w:rPr>
      </w:pPr>
      <w:r>
        <w:rPr>
          <w:rFonts w:hint="eastAsia" w:ascii="仿宋" w:hAnsi="仿宋" w:eastAsia="仿宋"/>
          <w:sz w:val="30"/>
          <w:szCs w:val="30"/>
        </w:rPr>
        <w:t>2</w:t>
      </w:r>
      <w:r>
        <w:rPr>
          <w:rFonts w:ascii="仿宋" w:hAnsi="仿宋" w:eastAsia="仿宋"/>
          <w:sz w:val="30"/>
          <w:szCs w:val="30"/>
        </w:rPr>
        <w:t xml:space="preserve">. </w:t>
      </w:r>
      <w:r>
        <w:rPr>
          <w:rFonts w:hint="eastAsia" w:ascii="仿宋" w:hAnsi="仿宋" w:eastAsia="仿宋" w:cs="??_GB2312"/>
          <w:kern w:val="0"/>
          <w:sz w:val="30"/>
          <w:szCs w:val="30"/>
        </w:rPr>
        <w:t>明确、细化预算绩效目标，完善预算绩效管理体系。</w:t>
      </w:r>
    </w:p>
    <w:p>
      <w:pPr>
        <w:spacing w:line="600" w:lineRule="exact"/>
        <w:ind w:firstLine="600" w:firstLineChars="200"/>
        <w:rPr>
          <w:rFonts w:ascii="仿宋" w:hAnsi="仿宋" w:eastAsia="仿宋" w:cs="??_GB2312"/>
          <w:kern w:val="0"/>
          <w:sz w:val="30"/>
          <w:szCs w:val="30"/>
        </w:rPr>
      </w:pPr>
      <w:r>
        <w:rPr>
          <w:rFonts w:hint="eastAsia" w:ascii="仿宋" w:hAnsi="仿宋" w:eastAsia="仿宋" w:cs="??_GB2312"/>
          <w:kern w:val="0"/>
          <w:sz w:val="30"/>
          <w:szCs w:val="30"/>
        </w:rPr>
        <w:t>预算绩效目标的设定是完善预算绩效管理机制的基础和依据，预算单位申请资金时，应把绩效目标作为预算编制不可或缺的有机内容；财政部门在审核预算时应同时审核预算单位设定的绩效目标，批复预算资金时一并批复绩效目标，为预算绩效管理奠定基础</w:t>
      </w:r>
      <w:r>
        <w:rPr>
          <w:rFonts w:hint="eastAsia" w:ascii="仿宋" w:hAnsi="仿宋" w:eastAsia="仿宋" w:cs="宋体"/>
          <w:kern w:val="0"/>
          <w:sz w:val="30"/>
          <w:szCs w:val="30"/>
        </w:rPr>
        <w:t>。</w:t>
      </w:r>
    </w:p>
    <w:p>
      <w:pPr>
        <w:pStyle w:val="28"/>
        <w:ind w:firstLine="600"/>
        <w:rPr>
          <w:rFonts w:ascii="仿宋" w:hAnsi="仿宋" w:eastAsia="仿宋"/>
          <w:sz w:val="30"/>
          <w:szCs w:val="30"/>
        </w:rPr>
      </w:pPr>
      <w:r>
        <w:rPr>
          <w:rFonts w:hint="eastAsia" w:ascii="仿宋" w:hAnsi="仿宋" w:eastAsia="仿宋"/>
          <w:sz w:val="30"/>
          <w:szCs w:val="30"/>
        </w:rPr>
        <w:t>3</w:t>
      </w:r>
      <w:r>
        <w:rPr>
          <w:rFonts w:ascii="仿宋" w:hAnsi="仿宋" w:eastAsia="仿宋"/>
          <w:sz w:val="30"/>
          <w:szCs w:val="30"/>
        </w:rPr>
        <w:t xml:space="preserve">. </w:t>
      </w:r>
      <w:r>
        <w:rPr>
          <w:rFonts w:hint="eastAsia" w:ascii="仿宋" w:hAnsi="仿宋" w:eastAsia="仿宋" w:cs="宋体"/>
          <w:sz w:val="30"/>
          <w:szCs w:val="30"/>
        </w:rPr>
        <w:t>建立健全项目管理制度。</w:t>
      </w:r>
    </w:p>
    <w:p>
      <w:pPr>
        <w:pStyle w:val="28"/>
        <w:ind w:firstLine="600"/>
        <w:rPr>
          <w:rFonts w:ascii="仿宋" w:hAnsi="仿宋" w:eastAsia="仿宋"/>
          <w:sz w:val="30"/>
          <w:szCs w:val="30"/>
        </w:rPr>
      </w:pPr>
      <w:r>
        <w:rPr>
          <w:rFonts w:hint="eastAsia" w:ascii="仿宋" w:hAnsi="仿宋" w:eastAsia="仿宋" w:cs="宋体"/>
          <w:sz w:val="30"/>
          <w:szCs w:val="30"/>
        </w:rPr>
        <w:t>项目单位应进一步健全项目管理制度，已有的制度要严格执行，缺失的制度如合同管理制度、档案管理制度要建立健全。</w:t>
      </w:r>
    </w:p>
    <w:p>
      <w:pPr>
        <w:pStyle w:val="28"/>
        <w:ind w:firstLine="600"/>
        <w:rPr>
          <w:rFonts w:ascii="仿宋" w:hAnsi="仿宋" w:eastAsia="仿宋"/>
          <w:sz w:val="30"/>
          <w:szCs w:val="30"/>
        </w:rPr>
      </w:pPr>
      <w:r>
        <w:rPr>
          <w:rFonts w:hint="eastAsia" w:ascii="仿宋" w:hAnsi="仿宋" w:eastAsia="仿宋"/>
          <w:sz w:val="30"/>
          <w:szCs w:val="30"/>
        </w:rPr>
        <w:t xml:space="preserve">4. </w:t>
      </w:r>
      <w:r>
        <w:rPr>
          <w:rFonts w:hint="eastAsia" w:ascii="仿宋" w:hAnsi="仿宋" w:eastAsia="仿宋" w:cs="宋体"/>
          <w:sz w:val="30"/>
          <w:szCs w:val="30"/>
        </w:rPr>
        <w:t>落实后续管护措施，巩固绿化成果。</w:t>
      </w:r>
    </w:p>
    <w:p>
      <w:pPr>
        <w:pStyle w:val="28"/>
        <w:ind w:firstLine="600"/>
        <w:rPr>
          <w:rFonts w:ascii="仿宋" w:hAnsi="仿宋" w:eastAsia="仿宋" w:cs="宋体"/>
          <w:sz w:val="30"/>
          <w:szCs w:val="30"/>
        </w:rPr>
      </w:pPr>
      <w:r>
        <w:rPr>
          <w:rFonts w:hint="eastAsia" w:ascii="仿宋" w:hAnsi="仿宋" w:eastAsia="仿宋" w:cs="宋体"/>
          <w:sz w:val="30"/>
          <w:szCs w:val="30"/>
        </w:rPr>
        <w:t>要进一步研究南山区域及通道绿化等林木管护机制，提升生态建设质量，确保栽植一片、成活一片、绿化一片、不断提高盐湖区森林覆盖率；通过设立绿化项目后期管护区级专项补助资金，解决“重建轻管”的问题。</w:t>
      </w:r>
    </w:p>
    <w:p>
      <w:pPr>
        <w:pStyle w:val="28"/>
        <w:ind w:firstLine="600"/>
        <w:rPr>
          <w:rFonts w:ascii="仿宋" w:hAnsi="仿宋" w:eastAsia="仿宋"/>
          <w:sz w:val="30"/>
          <w:szCs w:val="30"/>
        </w:rPr>
      </w:pPr>
      <w:r>
        <w:rPr>
          <w:rFonts w:hint="eastAsia" w:ascii="仿宋" w:hAnsi="仿宋" w:eastAsia="仿宋"/>
          <w:sz w:val="30"/>
          <w:szCs w:val="30"/>
        </w:rPr>
        <w:t>5. 重视存在的问题，认真落实整改措施。</w:t>
      </w:r>
    </w:p>
    <w:p>
      <w:pPr>
        <w:pStyle w:val="28"/>
        <w:ind w:firstLine="600"/>
        <w:rPr>
          <w:rFonts w:ascii="仿宋" w:hAnsi="仿宋" w:eastAsia="仿宋"/>
          <w:sz w:val="30"/>
          <w:szCs w:val="30"/>
        </w:rPr>
      </w:pPr>
      <w:r>
        <w:rPr>
          <w:rFonts w:hint="eastAsia" w:ascii="仿宋" w:hAnsi="仿宋" w:eastAsia="仿宋" w:cs="宋体"/>
          <w:sz w:val="30"/>
          <w:szCs w:val="30"/>
        </w:rPr>
        <w:t>第三方评价的最终目的在于肯定成效，针对存在问题提出建议，督促有关各方完善管理，提高财政专项资金的使用绩效。建议财政、林业等有关部门要引起高度重视，切实采取有力措施，制定有效工作方案，进一步提升专项资金使用绩效。</w:t>
      </w:r>
    </w:p>
    <w:p>
      <w:pPr>
        <w:autoSpaceDE w:val="0"/>
        <w:autoSpaceDN w:val="0"/>
        <w:adjustRightInd w:val="0"/>
        <w:rPr>
          <w:rFonts w:ascii="??_GB2312" w:hAnsi="宋体"/>
          <w:sz w:val="30"/>
          <w:szCs w:val="30"/>
        </w:rPr>
      </w:pPr>
    </w:p>
    <w:p>
      <w:pPr>
        <w:pStyle w:val="35"/>
        <w:rPr>
          <w:rFonts w:ascii="仿宋" w:hAnsi="仿宋" w:eastAsia="仿宋"/>
          <w:sz w:val="36"/>
          <w:szCs w:val="36"/>
        </w:rPr>
      </w:pPr>
      <w:bookmarkStart w:id="26" w:name="_Toc24633810"/>
      <w:r>
        <w:rPr>
          <w:rFonts w:hint="eastAsia" w:ascii="仿宋" w:hAnsi="仿宋" w:eastAsia="仿宋"/>
          <w:sz w:val="36"/>
          <w:szCs w:val="36"/>
        </w:rPr>
        <w:t>附件</w:t>
      </w:r>
      <w:bookmarkEnd w:id="26"/>
    </w:p>
    <w:p>
      <w:pPr>
        <w:numPr>
          <w:ilvl w:val="0"/>
          <w:numId w:val="1"/>
        </w:numPr>
        <w:autoSpaceDE w:val="0"/>
        <w:autoSpaceDN w:val="0"/>
        <w:adjustRightInd w:val="0"/>
        <w:jc w:val="left"/>
        <w:rPr>
          <w:rFonts w:ascii="仿宋" w:hAnsi="仿宋" w:eastAsia="仿宋"/>
          <w:sz w:val="30"/>
          <w:szCs w:val="30"/>
        </w:rPr>
      </w:pPr>
      <w:r>
        <w:rPr>
          <w:rFonts w:ascii="仿宋" w:hAnsi="仿宋" w:eastAsia="仿宋"/>
          <w:sz w:val="30"/>
          <w:szCs w:val="30"/>
        </w:rPr>
        <w:t>绩效评价指标评分表</w:t>
      </w:r>
    </w:p>
    <w:p>
      <w:pPr>
        <w:numPr>
          <w:ilvl w:val="0"/>
          <w:numId w:val="1"/>
        </w:numPr>
        <w:autoSpaceDE w:val="0"/>
        <w:autoSpaceDN w:val="0"/>
        <w:adjustRightInd w:val="0"/>
        <w:jc w:val="left"/>
        <w:rPr>
          <w:rFonts w:ascii="仿宋" w:hAnsi="仿宋" w:eastAsia="仿宋"/>
          <w:sz w:val="30"/>
          <w:szCs w:val="30"/>
        </w:rPr>
      </w:pPr>
      <w:r>
        <w:rPr>
          <w:rFonts w:hint="eastAsia" w:ascii="仿宋" w:hAnsi="仿宋" w:eastAsia="仿宋"/>
          <w:sz w:val="30"/>
          <w:szCs w:val="30"/>
        </w:rPr>
        <w:t>绩效评价指标体系</w:t>
      </w:r>
    </w:p>
    <w:p>
      <w:pPr>
        <w:autoSpaceDE w:val="0"/>
        <w:autoSpaceDN w:val="0"/>
        <w:adjustRightInd w:val="0"/>
        <w:ind w:firstLine="900" w:firstLineChars="300"/>
        <w:jc w:val="left"/>
        <w:rPr>
          <w:rFonts w:ascii="仿宋" w:hAnsi="仿宋" w:eastAsia="仿宋"/>
          <w:sz w:val="30"/>
          <w:szCs w:val="30"/>
        </w:rPr>
      </w:pPr>
      <w:r>
        <w:rPr>
          <w:rFonts w:hint="eastAsia" w:ascii="仿宋" w:hAnsi="仿宋" w:eastAsia="仿宋"/>
          <w:sz w:val="30"/>
          <w:szCs w:val="30"/>
        </w:rPr>
        <w:t>3. 调查问卷报告</w:t>
      </w:r>
    </w:p>
    <w:p>
      <w:pPr>
        <w:spacing w:after="156" w:afterLines="50"/>
        <w:jc w:val="left"/>
        <w:rPr>
          <w:b/>
          <w:bCs/>
          <w:sz w:val="24"/>
        </w:rPr>
      </w:pPr>
      <w:r>
        <w:rPr>
          <w:b/>
          <w:bCs/>
          <w:sz w:val="24"/>
        </w:rPr>
        <w:br w:type="page"/>
      </w:r>
      <w:r>
        <w:rPr>
          <w:rFonts w:hint="eastAsia"/>
          <w:b/>
          <w:bCs/>
          <w:sz w:val="24"/>
        </w:rPr>
        <w:t xml:space="preserve">  附件1：      南山生态修复荒滩绿化项目绩效评价指标评分表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660"/>
        <w:gridCol w:w="1500"/>
        <w:gridCol w:w="690"/>
        <w:gridCol w:w="3150"/>
        <w:gridCol w:w="735"/>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blHeader/>
        </w:trPr>
        <w:tc>
          <w:tcPr>
            <w:tcW w:w="1045" w:type="dxa"/>
            <w:vAlign w:val="center"/>
          </w:tcPr>
          <w:p>
            <w:pPr>
              <w:jc w:val="center"/>
              <w:rPr>
                <w:rFonts w:ascii="宋体" w:hAnsi="宋体" w:cs="宋体"/>
                <w:b/>
                <w:bCs/>
                <w:sz w:val="20"/>
                <w:szCs w:val="20"/>
              </w:rPr>
            </w:pPr>
            <w:r>
              <w:rPr>
                <w:rFonts w:hint="eastAsia" w:ascii="宋体" w:hAnsi="宋体" w:cs="宋体"/>
                <w:b/>
                <w:bCs/>
                <w:sz w:val="20"/>
                <w:szCs w:val="20"/>
              </w:rPr>
              <w:t>一级指标</w:t>
            </w:r>
          </w:p>
        </w:tc>
        <w:tc>
          <w:tcPr>
            <w:tcW w:w="660" w:type="dxa"/>
            <w:vAlign w:val="center"/>
          </w:tcPr>
          <w:p>
            <w:pPr>
              <w:jc w:val="center"/>
              <w:rPr>
                <w:rFonts w:ascii="宋体" w:hAnsi="宋体" w:cs="宋体"/>
                <w:b/>
                <w:bCs/>
                <w:sz w:val="20"/>
                <w:szCs w:val="20"/>
              </w:rPr>
            </w:pPr>
            <w:r>
              <w:rPr>
                <w:rFonts w:hint="eastAsia" w:ascii="宋体" w:hAnsi="宋体" w:cs="宋体"/>
                <w:b/>
                <w:bCs/>
                <w:sz w:val="20"/>
                <w:szCs w:val="20"/>
              </w:rPr>
              <w:t>分值</w:t>
            </w:r>
          </w:p>
        </w:tc>
        <w:tc>
          <w:tcPr>
            <w:tcW w:w="1500" w:type="dxa"/>
            <w:vAlign w:val="center"/>
          </w:tcPr>
          <w:p>
            <w:pPr>
              <w:jc w:val="center"/>
              <w:rPr>
                <w:rFonts w:ascii="宋体" w:hAnsi="宋体" w:cs="宋体"/>
                <w:b/>
                <w:bCs/>
                <w:sz w:val="20"/>
                <w:szCs w:val="20"/>
              </w:rPr>
            </w:pPr>
            <w:r>
              <w:rPr>
                <w:rFonts w:hint="eastAsia" w:ascii="宋体" w:hAnsi="宋体" w:cs="宋体"/>
                <w:b/>
                <w:bCs/>
                <w:sz w:val="20"/>
                <w:szCs w:val="20"/>
              </w:rPr>
              <w:t>二级指标</w:t>
            </w:r>
          </w:p>
        </w:tc>
        <w:tc>
          <w:tcPr>
            <w:tcW w:w="690" w:type="dxa"/>
            <w:vAlign w:val="center"/>
          </w:tcPr>
          <w:p>
            <w:pPr>
              <w:jc w:val="center"/>
              <w:rPr>
                <w:rFonts w:ascii="宋体" w:hAnsi="宋体" w:cs="宋体"/>
                <w:b/>
                <w:bCs/>
                <w:sz w:val="20"/>
                <w:szCs w:val="20"/>
              </w:rPr>
            </w:pPr>
            <w:r>
              <w:rPr>
                <w:rFonts w:hint="eastAsia" w:ascii="宋体" w:hAnsi="宋体" w:cs="宋体"/>
                <w:b/>
                <w:bCs/>
                <w:sz w:val="20"/>
                <w:szCs w:val="20"/>
              </w:rPr>
              <w:t>分值</w:t>
            </w:r>
          </w:p>
        </w:tc>
        <w:tc>
          <w:tcPr>
            <w:tcW w:w="3150" w:type="dxa"/>
            <w:vAlign w:val="center"/>
          </w:tcPr>
          <w:p>
            <w:pPr>
              <w:jc w:val="center"/>
              <w:rPr>
                <w:rFonts w:ascii="宋体" w:hAnsi="宋体" w:cs="宋体"/>
                <w:b/>
                <w:bCs/>
                <w:sz w:val="20"/>
                <w:szCs w:val="20"/>
              </w:rPr>
            </w:pPr>
            <w:r>
              <w:rPr>
                <w:rFonts w:hint="eastAsia" w:ascii="宋体" w:hAnsi="宋体" w:cs="宋体"/>
                <w:b/>
                <w:bCs/>
                <w:sz w:val="20"/>
                <w:szCs w:val="20"/>
              </w:rPr>
              <w:t>三级指标</w:t>
            </w:r>
          </w:p>
        </w:tc>
        <w:tc>
          <w:tcPr>
            <w:tcW w:w="735" w:type="dxa"/>
            <w:vAlign w:val="center"/>
          </w:tcPr>
          <w:p>
            <w:pPr>
              <w:jc w:val="center"/>
              <w:rPr>
                <w:rFonts w:ascii="宋体" w:hAnsi="宋体" w:cs="宋体"/>
                <w:b/>
                <w:bCs/>
                <w:sz w:val="20"/>
                <w:szCs w:val="20"/>
              </w:rPr>
            </w:pPr>
            <w:r>
              <w:rPr>
                <w:rFonts w:hint="eastAsia" w:ascii="宋体" w:hAnsi="宋体" w:cs="宋体"/>
                <w:b/>
                <w:bCs/>
                <w:sz w:val="20"/>
                <w:szCs w:val="20"/>
              </w:rPr>
              <w:t>分值</w:t>
            </w:r>
          </w:p>
        </w:tc>
        <w:tc>
          <w:tcPr>
            <w:tcW w:w="742" w:type="dxa"/>
            <w:vAlign w:val="center"/>
          </w:tcPr>
          <w:p>
            <w:pPr>
              <w:jc w:val="center"/>
              <w:rPr>
                <w:rFonts w:ascii="宋体" w:hAnsi="宋体" w:cs="宋体"/>
                <w:b/>
                <w:bCs/>
                <w:sz w:val="20"/>
                <w:szCs w:val="20"/>
              </w:rPr>
            </w:pPr>
            <w:r>
              <w:rPr>
                <w:rFonts w:hint="eastAsia" w:ascii="宋体" w:hAnsi="宋体" w:cs="宋体"/>
                <w:b/>
                <w:bCs/>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restart"/>
            <w:vAlign w:val="center"/>
          </w:tcPr>
          <w:p>
            <w:pPr>
              <w:autoSpaceDE w:val="0"/>
              <w:autoSpaceDN w:val="0"/>
              <w:adjustRightInd w:val="0"/>
              <w:jc w:val="center"/>
              <w:rPr>
                <w:rFonts w:ascii="宋体" w:hAnsi="宋体" w:cs="宋体"/>
                <w:kern w:val="0"/>
                <w:sz w:val="20"/>
                <w:szCs w:val="20"/>
              </w:rPr>
            </w:pPr>
            <w:r>
              <w:rPr>
                <w:rFonts w:hint="eastAsia" w:ascii="宋体" w:hAnsi="宋体" w:cs="宋体"/>
                <w:kern w:val="0"/>
                <w:sz w:val="20"/>
                <w:szCs w:val="20"/>
              </w:rPr>
              <w:t>报备</w:t>
            </w:r>
          </w:p>
        </w:tc>
        <w:tc>
          <w:tcPr>
            <w:tcW w:w="660" w:type="dxa"/>
            <w:vMerge w:val="restart"/>
            <w:vAlign w:val="center"/>
          </w:tcPr>
          <w:p>
            <w:pPr>
              <w:autoSpaceDE w:val="0"/>
              <w:autoSpaceDN w:val="0"/>
              <w:adjustRightInd w:val="0"/>
              <w:jc w:val="center"/>
              <w:rPr>
                <w:rFonts w:ascii="宋体" w:hAnsi="宋体" w:cs="宋体"/>
                <w:kern w:val="0"/>
                <w:sz w:val="20"/>
                <w:szCs w:val="20"/>
              </w:rPr>
            </w:pPr>
            <w:r>
              <w:rPr>
                <w:rFonts w:hint="eastAsia" w:ascii="宋体" w:hAnsi="宋体" w:cs="宋体"/>
                <w:kern w:val="0"/>
                <w:sz w:val="20"/>
                <w:szCs w:val="20"/>
              </w:rPr>
              <w:t>8</w:t>
            </w:r>
          </w:p>
        </w:tc>
        <w:tc>
          <w:tcPr>
            <w:tcW w:w="1500" w:type="dxa"/>
            <w:vMerge w:val="restart"/>
            <w:vAlign w:val="center"/>
          </w:tcPr>
          <w:p>
            <w:pPr>
              <w:autoSpaceDE w:val="0"/>
              <w:autoSpaceDN w:val="0"/>
              <w:adjustRightInd w:val="0"/>
              <w:jc w:val="center"/>
              <w:rPr>
                <w:rFonts w:ascii="宋体" w:hAnsi="宋体" w:cs="宋体"/>
                <w:kern w:val="0"/>
                <w:sz w:val="20"/>
                <w:szCs w:val="20"/>
              </w:rPr>
            </w:pPr>
            <w:r>
              <w:rPr>
                <w:rFonts w:hint="eastAsia" w:ascii="宋体" w:hAnsi="宋体" w:cs="宋体"/>
                <w:kern w:val="0"/>
                <w:sz w:val="20"/>
                <w:szCs w:val="20"/>
              </w:rPr>
              <w:t>目标申报</w:t>
            </w:r>
          </w:p>
        </w:tc>
        <w:tc>
          <w:tcPr>
            <w:tcW w:w="690" w:type="dxa"/>
            <w:vMerge w:val="restart"/>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4</w:t>
            </w:r>
          </w:p>
        </w:tc>
        <w:tc>
          <w:tcPr>
            <w:tcW w:w="3150" w:type="dxa"/>
            <w:vAlign w:val="center"/>
          </w:tcPr>
          <w:p>
            <w:pPr>
              <w:jc w:val="left"/>
              <w:rPr>
                <w:rFonts w:ascii="宋体" w:hAnsi="宋体" w:cs="宋体"/>
                <w:sz w:val="20"/>
                <w:szCs w:val="20"/>
              </w:rPr>
            </w:pPr>
            <w:r>
              <w:rPr>
                <w:rFonts w:hint="eastAsia" w:ascii="宋体" w:hAnsi="宋体" w:cs="宋体"/>
                <w:sz w:val="20"/>
                <w:szCs w:val="20"/>
              </w:rPr>
              <w:t>申报的及时性</w:t>
            </w:r>
          </w:p>
        </w:tc>
        <w:tc>
          <w:tcPr>
            <w:tcW w:w="735"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tcPr>
          <w:p>
            <w:pPr>
              <w:autoSpaceDE w:val="0"/>
              <w:autoSpaceDN w:val="0"/>
              <w:adjustRightInd w:val="0"/>
              <w:jc w:val="center"/>
              <w:rPr>
                <w:rFonts w:ascii="宋体" w:hAnsi="宋体" w:cs="宋体"/>
                <w:kern w:val="0"/>
                <w:sz w:val="20"/>
                <w:szCs w:val="20"/>
              </w:rPr>
            </w:pPr>
          </w:p>
        </w:tc>
        <w:tc>
          <w:tcPr>
            <w:tcW w:w="690" w:type="dxa"/>
            <w:vMerge w:val="continue"/>
          </w:tcPr>
          <w:p>
            <w:pPr>
              <w:spacing w:after="156" w:afterLines="50"/>
              <w:jc w:val="center"/>
              <w:rPr>
                <w:rFonts w:ascii="宋体" w:hAnsi="宋体" w:cs="宋体"/>
                <w:b/>
                <w:bCs/>
                <w:sz w:val="20"/>
                <w:szCs w:val="20"/>
              </w:rPr>
            </w:pPr>
          </w:p>
        </w:tc>
        <w:tc>
          <w:tcPr>
            <w:tcW w:w="3150" w:type="dxa"/>
            <w:vAlign w:val="center"/>
          </w:tcPr>
          <w:p>
            <w:pPr>
              <w:jc w:val="left"/>
              <w:rPr>
                <w:rFonts w:ascii="宋体" w:hAnsi="宋体" w:cs="宋体"/>
                <w:sz w:val="20"/>
                <w:szCs w:val="20"/>
              </w:rPr>
            </w:pPr>
            <w:r>
              <w:rPr>
                <w:rFonts w:hint="eastAsia" w:ascii="宋体" w:hAnsi="宋体" w:cs="宋体"/>
                <w:sz w:val="20"/>
                <w:szCs w:val="20"/>
              </w:rPr>
              <w:t>申报的全面性</w:t>
            </w:r>
          </w:p>
        </w:tc>
        <w:tc>
          <w:tcPr>
            <w:tcW w:w="735"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restart"/>
            <w:vAlign w:val="center"/>
          </w:tcPr>
          <w:p>
            <w:pPr>
              <w:autoSpaceDE w:val="0"/>
              <w:autoSpaceDN w:val="0"/>
              <w:adjustRightInd w:val="0"/>
              <w:jc w:val="center"/>
              <w:rPr>
                <w:rFonts w:ascii="宋体" w:hAnsi="宋体" w:cs="宋体"/>
                <w:kern w:val="0"/>
                <w:sz w:val="20"/>
                <w:szCs w:val="20"/>
              </w:rPr>
            </w:pPr>
            <w:r>
              <w:rPr>
                <w:rFonts w:hint="eastAsia" w:ascii="宋体" w:hAnsi="宋体" w:cs="宋体"/>
                <w:kern w:val="0"/>
                <w:sz w:val="20"/>
                <w:szCs w:val="20"/>
              </w:rPr>
              <w:t>项目监控</w:t>
            </w:r>
          </w:p>
        </w:tc>
        <w:tc>
          <w:tcPr>
            <w:tcW w:w="690" w:type="dxa"/>
            <w:vMerge w:val="restart"/>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2</w:t>
            </w:r>
          </w:p>
        </w:tc>
        <w:tc>
          <w:tcPr>
            <w:tcW w:w="3150" w:type="dxa"/>
            <w:vAlign w:val="center"/>
          </w:tcPr>
          <w:p>
            <w:pPr>
              <w:jc w:val="left"/>
              <w:rPr>
                <w:rFonts w:ascii="宋体" w:hAnsi="宋体" w:cs="宋体"/>
                <w:sz w:val="20"/>
                <w:szCs w:val="20"/>
              </w:rPr>
            </w:pPr>
            <w:r>
              <w:rPr>
                <w:rFonts w:hint="eastAsia" w:ascii="宋体" w:hAnsi="宋体" w:cs="宋体"/>
                <w:sz w:val="20"/>
                <w:szCs w:val="20"/>
              </w:rPr>
              <w:t>制度健全性</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vAlign w:val="center"/>
          </w:tcPr>
          <w:p>
            <w:pPr>
              <w:autoSpaceDE w:val="0"/>
              <w:autoSpaceDN w:val="0"/>
              <w:adjustRightInd w:val="0"/>
              <w:jc w:val="center"/>
              <w:rPr>
                <w:rFonts w:ascii="宋体" w:hAnsi="宋体" w:cs="宋体"/>
                <w:kern w:val="0"/>
                <w:sz w:val="20"/>
                <w:szCs w:val="20"/>
              </w:rPr>
            </w:pPr>
          </w:p>
        </w:tc>
        <w:tc>
          <w:tcPr>
            <w:tcW w:w="690" w:type="dxa"/>
            <w:vMerge w:val="continue"/>
            <w:vAlign w:val="center"/>
          </w:tcPr>
          <w:p>
            <w:pPr>
              <w:widowControl/>
              <w:jc w:val="center"/>
              <w:textAlignment w:val="center"/>
              <w:rPr>
                <w:rFonts w:ascii="宋体" w:hAnsi="宋体" w:cs="宋体"/>
                <w:kern w:val="0"/>
                <w:sz w:val="20"/>
                <w:szCs w:val="20"/>
              </w:rPr>
            </w:pPr>
          </w:p>
        </w:tc>
        <w:tc>
          <w:tcPr>
            <w:tcW w:w="3150" w:type="dxa"/>
            <w:vAlign w:val="center"/>
          </w:tcPr>
          <w:p>
            <w:pPr>
              <w:jc w:val="left"/>
              <w:rPr>
                <w:rFonts w:ascii="宋体" w:hAnsi="宋体" w:cs="宋体"/>
                <w:sz w:val="20"/>
                <w:szCs w:val="20"/>
              </w:rPr>
            </w:pPr>
            <w:r>
              <w:rPr>
                <w:rFonts w:hint="eastAsia" w:ascii="宋体" w:hAnsi="宋体" w:cs="宋体"/>
                <w:sz w:val="20"/>
                <w:szCs w:val="20"/>
              </w:rPr>
              <w:t>制度可控性</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restart"/>
            <w:vAlign w:val="center"/>
          </w:tcPr>
          <w:p>
            <w:pPr>
              <w:autoSpaceDE w:val="0"/>
              <w:autoSpaceDN w:val="0"/>
              <w:adjustRightInd w:val="0"/>
              <w:jc w:val="center"/>
              <w:rPr>
                <w:rFonts w:ascii="宋体" w:hAnsi="宋体" w:cs="宋体"/>
                <w:kern w:val="0"/>
                <w:sz w:val="20"/>
                <w:szCs w:val="20"/>
              </w:rPr>
            </w:pPr>
            <w:r>
              <w:rPr>
                <w:rFonts w:hint="eastAsia" w:ascii="宋体" w:hAnsi="宋体" w:cs="宋体"/>
                <w:kern w:val="0"/>
                <w:sz w:val="20"/>
                <w:szCs w:val="20"/>
              </w:rPr>
              <w:t>项目自评</w:t>
            </w:r>
          </w:p>
        </w:tc>
        <w:tc>
          <w:tcPr>
            <w:tcW w:w="690" w:type="dxa"/>
            <w:vMerge w:val="restart"/>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2</w:t>
            </w:r>
          </w:p>
        </w:tc>
        <w:tc>
          <w:tcPr>
            <w:tcW w:w="3150" w:type="dxa"/>
            <w:vAlign w:val="center"/>
          </w:tcPr>
          <w:p>
            <w:pPr>
              <w:jc w:val="left"/>
              <w:rPr>
                <w:rFonts w:ascii="宋体" w:hAnsi="宋体" w:cs="宋体"/>
                <w:sz w:val="20"/>
                <w:szCs w:val="20"/>
              </w:rPr>
            </w:pPr>
            <w:r>
              <w:rPr>
                <w:rFonts w:hint="eastAsia" w:ascii="宋体" w:hAnsi="宋体" w:cs="宋体"/>
                <w:sz w:val="20"/>
                <w:szCs w:val="20"/>
              </w:rPr>
              <w:t>是否有自评报告</w:t>
            </w:r>
          </w:p>
        </w:tc>
        <w:tc>
          <w:tcPr>
            <w:tcW w:w="735"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tcPr>
          <w:p>
            <w:pPr>
              <w:spacing w:after="156" w:afterLines="50"/>
              <w:jc w:val="center"/>
              <w:rPr>
                <w:rFonts w:ascii="宋体" w:hAnsi="宋体" w:cs="宋体"/>
                <w:b/>
                <w:bCs/>
                <w:sz w:val="20"/>
                <w:szCs w:val="20"/>
              </w:rPr>
            </w:pPr>
          </w:p>
        </w:tc>
        <w:tc>
          <w:tcPr>
            <w:tcW w:w="690" w:type="dxa"/>
            <w:vMerge w:val="continue"/>
          </w:tcPr>
          <w:p>
            <w:pPr>
              <w:spacing w:after="156" w:afterLines="50"/>
              <w:jc w:val="center"/>
              <w:rPr>
                <w:rFonts w:ascii="宋体" w:hAnsi="宋体" w:cs="宋体"/>
                <w:b/>
                <w:bCs/>
                <w:sz w:val="20"/>
                <w:szCs w:val="20"/>
              </w:rPr>
            </w:pPr>
          </w:p>
        </w:tc>
        <w:tc>
          <w:tcPr>
            <w:tcW w:w="3150" w:type="dxa"/>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自评报告的客观性、完整性、真实性</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restart"/>
            <w:vAlign w:val="center"/>
          </w:tcPr>
          <w:p>
            <w:pPr>
              <w:autoSpaceDE w:val="0"/>
              <w:autoSpaceDN w:val="0"/>
              <w:adjustRightInd w:val="0"/>
              <w:jc w:val="center"/>
              <w:rPr>
                <w:rFonts w:ascii="宋体" w:hAnsi="宋体" w:cs="宋体"/>
                <w:kern w:val="0"/>
                <w:sz w:val="20"/>
                <w:szCs w:val="20"/>
              </w:rPr>
            </w:pPr>
            <w:r>
              <w:rPr>
                <w:rFonts w:hint="eastAsia" w:ascii="宋体" w:hAnsi="宋体" w:cs="宋体"/>
                <w:kern w:val="0"/>
                <w:sz w:val="20"/>
                <w:szCs w:val="20"/>
              </w:rPr>
              <w:t>决策</w:t>
            </w:r>
          </w:p>
        </w:tc>
        <w:tc>
          <w:tcPr>
            <w:tcW w:w="660" w:type="dxa"/>
            <w:vMerge w:val="restart"/>
            <w:vAlign w:val="center"/>
          </w:tcPr>
          <w:p>
            <w:pPr>
              <w:autoSpaceDE w:val="0"/>
              <w:autoSpaceDN w:val="0"/>
              <w:adjustRightInd w:val="0"/>
              <w:jc w:val="center"/>
              <w:rPr>
                <w:rFonts w:ascii="宋体" w:hAnsi="宋体" w:cs="宋体"/>
                <w:kern w:val="0"/>
                <w:sz w:val="20"/>
                <w:szCs w:val="20"/>
              </w:rPr>
            </w:pPr>
            <w:r>
              <w:rPr>
                <w:rFonts w:hint="eastAsia" w:ascii="宋体" w:hAnsi="宋体" w:cs="宋体"/>
                <w:kern w:val="0"/>
                <w:sz w:val="20"/>
                <w:szCs w:val="20"/>
              </w:rPr>
              <w:t>16</w:t>
            </w:r>
          </w:p>
        </w:tc>
        <w:tc>
          <w:tcPr>
            <w:tcW w:w="1500" w:type="dxa"/>
            <w:vMerge w:val="restart"/>
            <w:vAlign w:val="center"/>
          </w:tcPr>
          <w:p>
            <w:pPr>
              <w:autoSpaceDE w:val="0"/>
              <w:autoSpaceDN w:val="0"/>
              <w:adjustRightInd w:val="0"/>
              <w:jc w:val="center"/>
              <w:rPr>
                <w:rFonts w:ascii="宋体" w:hAnsi="宋体" w:cs="宋体"/>
                <w:kern w:val="0"/>
                <w:sz w:val="20"/>
                <w:szCs w:val="20"/>
              </w:rPr>
            </w:pPr>
            <w:r>
              <w:rPr>
                <w:rFonts w:hint="eastAsia" w:ascii="宋体" w:hAnsi="宋体" w:cs="宋体"/>
                <w:color w:val="000000"/>
                <w:kern w:val="0"/>
                <w:sz w:val="20"/>
                <w:szCs w:val="20"/>
              </w:rPr>
              <w:t>项目立项</w:t>
            </w:r>
          </w:p>
        </w:tc>
        <w:tc>
          <w:tcPr>
            <w:tcW w:w="690" w:type="dxa"/>
            <w:vMerge w:val="restart"/>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4</w:t>
            </w:r>
          </w:p>
        </w:tc>
        <w:tc>
          <w:tcPr>
            <w:tcW w:w="3150" w:type="dxa"/>
            <w:vAlign w:val="center"/>
          </w:tcPr>
          <w:p>
            <w:pPr>
              <w:widowControl/>
              <w:spacing w:line="320" w:lineRule="exact"/>
              <w:jc w:val="left"/>
              <w:rPr>
                <w:rFonts w:ascii="宋体" w:hAnsi="宋体" w:cs="宋体"/>
                <w:sz w:val="20"/>
                <w:szCs w:val="20"/>
              </w:rPr>
            </w:pPr>
            <w:r>
              <w:rPr>
                <w:rFonts w:hint="eastAsia" w:ascii="宋体" w:hAnsi="宋体" w:cs="宋体"/>
                <w:color w:val="000000"/>
                <w:kern w:val="0"/>
                <w:sz w:val="20"/>
                <w:szCs w:val="20"/>
              </w:rPr>
              <w:t>立项依据充分性</w:t>
            </w:r>
          </w:p>
        </w:tc>
        <w:tc>
          <w:tcPr>
            <w:tcW w:w="735"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tcPr>
          <w:p>
            <w:pPr>
              <w:spacing w:after="156" w:afterLines="50"/>
              <w:jc w:val="center"/>
              <w:rPr>
                <w:rFonts w:ascii="宋体" w:hAnsi="宋体" w:cs="宋体"/>
                <w:b/>
                <w:bCs/>
                <w:sz w:val="20"/>
                <w:szCs w:val="20"/>
              </w:rPr>
            </w:pPr>
          </w:p>
        </w:tc>
        <w:tc>
          <w:tcPr>
            <w:tcW w:w="690" w:type="dxa"/>
            <w:vMerge w:val="continue"/>
          </w:tcPr>
          <w:p>
            <w:pPr>
              <w:spacing w:after="156" w:afterLines="50"/>
              <w:jc w:val="center"/>
              <w:rPr>
                <w:rFonts w:ascii="宋体" w:hAnsi="宋体" w:cs="宋体"/>
                <w:b/>
                <w:bCs/>
                <w:sz w:val="20"/>
                <w:szCs w:val="20"/>
              </w:rPr>
            </w:pPr>
          </w:p>
        </w:tc>
        <w:tc>
          <w:tcPr>
            <w:tcW w:w="3150" w:type="dxa"/>
            <w:vAlign w:val="center"/>
          </w:tcPr>
          <w:p>
            <w:pPr>
              <w:widowControl/>
              <w:spacing w:line="320" w:lineRule="exact"/>
              <w:jc w:val="left"/>
              <w:rPr>
                <w:rFonts w:ascii="宋体" w:hAnsi="宋体" w:cs="宋体"/>
                <w:sz w:val="20"/>
                <w:szCs w:val="20"/>
              </w:rPr>
            </w:pPr>
            <w:r>
              <w:rPr>
                <w:rFonts w:hint="eastAsia" w:ascii="宋体" w:hAnsi="宋体" w:cs="宋体"/>
                <w:color w:val="000000"/>
                <w:kern w:val="0"/>
                <w:sz w:val="20"/>
                <w:szCs w:val="20"/>
              </w:rPr>
              <w:t>立项程序规范性</w:t>
            </w:r>
          </w:p>
        </w:tc>
        <w:tc>
          <w:tcPr>
            <w:tcW w:w="735"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3</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restart"/>
            <w:vAlign w:val="center"/>
          </w:tcPr>
          <w:p>
            <w:pPr>
              <w:autoSpaceDE w:val="0"/>
              <w:autoSpaceDN w:val="0"/>
              <w:adjustRightInd w:val="0"/>
              <w:jc w:val="center"/>
              <w:rPr>
                <w:rFonts w:ascii="宋体" w:hAnsi="宋体" w:cs="宋体"/>
                <w:kern w:val="0"/>
                <w:sz w:val="20"/>
                <w:szCs w:val="20"/>
              </w:rPr>
            </w:pPr>
            <w:r>
              <w:rPr>
                <w:rFonts w:hint="eastAsia" w:ascii="宋体" w:hAnsi="宋体" w:cs="宋体"/>
                <w:kern w:val="0"/>
                <w:sz w:val="20"/>
                <w:szCs w:val="20"/>
              </w:rPr>
              <w:t>绩效目标</w:t>
            </w:r>
          </w:p>
        </w:tc>
        <w:tc>
          <w:tcPr>
            <w:tcW w:w="690" w:type="dxa"/>
            <w:vMerge w:val="restart"/>
            <w:vAlign w:val="center"/>
          </w:tcPr>
          <w:p>
            <w:pPr>
              <w:jc w:val="center"/>
              <w:textAlignment w:val="center"/>
              <w:rPr>
                <w:rFonts w:ascii="宋体" w:hAnsi="宋体" w:cs="宋体"/>
                <w:kern w:val="0"/>
                <w:sz w:val="20"/>
                <w:szCs w:val="20"/>
              </w:rPr>
            </w:pPr>
            <w:r>
              <w:rPr>
                <w:rFonts w:hint="eastAsia" w:ascii="宋体" w:hAnsi="宋体" w:cs="宋体"/>
                <w:kern w:val="0"/>
                <w:sz w:val="20"/>
                <w:szCs w:val="20"/>
              </w:rPr>
              <w:t>7</w:t>
            </w:r>
          </w:p>
        </w:tc>
        <w:tc>
          <w:tcPr>
            <w:tcW w:w="3150" w:type="dxa"/>
            <w:vAlign w:val="center"/>
          </w:tcPr>
          <w:p>
            <w:pPr>
              <w:jc w:val="left"/>
              <w:rPr>
                <w:rFonts w:ascii="宋体" w:hAnsi="宋体" w:cs="宋体"/>
                <w:sz w:val="20"/>
                <w:szCs w:val="20"/>
              </w:rPr>
            </w:pPr>
            <w:r>
              <w:rPr>
                <w:rFonts w:hint="eastAsia" w:ascii="宋体" w:hAnsi="宋体" w:cs="宋体"/>
                <w:color w:val="000000"/>
                <w:kern w:val="0"/>
                <w:sz w:val="20"/>
                <w:szCs w:val="20"/>
              </w:rPr>
              <w:t>绩效目标合理性</w:t>
            </w:r>
          </w:p>
        </w:tc>
        <w:tc>
          <w:tcPr>
            <w:tcW w:w="735"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4</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vAlign w:val="center"/>
          </w:tcPr>
          <w:p>
            <w:pPr>
              <w:autoSpaceDE w:val="0"/>
              <w:autoSpaceDN w:val="0"/>
              <w:adjustRightInd w:val="0"/>
              <w:jc w:val="center"/>
              <w:rPr>
                <w:rFonts w:ascii="宋体" w:hAnsi="宋体" w:cs="宋体"/>
                <w:kern w:val="0"/>
                <w:sz w:val="20"/>
                <w:szCs w:val="20"/>
              </w:rPr>
            </w:pPr>
          </w:p>
        </w:tc>
        <w:tc>
          <w:tcPr>
            <w:tcW w:w="690" w:type="dxa"/>
            <w:vMerge w:val="continue"/>
            <w:vAlign w:val="center"/>
          </w:tcPr>
          <w:p>
            <w:pPr>
              <w:widowControl/>
              <w:jc w:val="center"/>
              <w:textAlignment w:val="center"/>
              <w:rPr>
                <w:rFonts w:ascii="宋体" w:hAnsi="宋体" w:cs="宋体"/>
                <w:kern w:val="0"/>
                <w:sz w:val="20"/>
                <w:szCs w:val="20"/>
              </w:rPr>
            </w:pPr>
          </w:p>
        </w:tc>
        <w:tc>
          <w:tcPr>
            <w:tcW w:w="3150" w:type="dxa"/>
            <w:vAlign w:val="center"/>
          </w:tcPr>
          <w:p>
            <w:pPr>
              <w:autoSpaceDE w:val="0"/>
              <w:autoSpaceDN w:val="0"/>
              <w:adjustRightInd w:val="0"/>
              <w:jc w:val="left"/>
              <w:rPr>
                <w:rFonts w:ascii="宋体" w:hAnsi="宋体" w:cs="宋体"/>
                <w:kern w:val="0"/>
                <w:sz w:val="20"/>
                <w:szCs w:val="20"/>
              </w:rPr>
            </w:pPr>
            <w:r>
              <w:rPr>
                <w:rFonts w:hint="eastAsia" w:ascii="宋体" w:hAnsi="宋体" w:cs="宋体"/>
                <w:kern w:val="0"/>
                <w:sz w:val="20"/>
                <w:szCs w:val="20"/>
              </w:rPr>
              <w:t>绩效指标明确性</w:t>
            </w:r>
          </w:p>
        </w:tc>
        <w:tc>
          <w:tcPr>
            <w:tcW w:w="735" w:type="dxa"/>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3</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restart"/>
            <w:vAlign w:val="center"/>
          </w:tcPr>
          <w:p>
            <w:pPr>
              <w:autoSpaceDE w:val="0"/>
              <w:autoSpaceDN w:val="0"/>
              <w:adjustRightInd w:val="0"/>
              <w:jc w:val="center"/>
              <w:rPr>
                <w:rFonts w:ascii="宋体" w:hAnsi="宋体" w:cs="宋体"/>
                <w:kern w:val="0"/>
                <w:sz w:val="20"/>
                <w:szCs w:val="20"/>
              </w:rPr>
            </w:pPr>
            <w:r>
              <w:rPr>
                <w:rFonts w:hint="eastAsia" w:ascii="宋体" w:hAnsi="宋体" w:cs="宋体"/>
                <w:kern w:val="0"/>
                <w:sz w:val="20"/>
                <w:szCs w:val="20"/>
              </w:rPr>
              <w:t>资金投入</w:t>
            </w:r>
          </w:p>
        </w:tc>
        <w:tc>
          <w:tcPr>
            <w:tcW w:w="690" w:type="dxa"/>
            <w:vMerge w:val="restart"/>
            <w:vAlign w:val="center"/>
          </w:tcPr>
          <w:p>
            <w:pPr>
              <w:jc w:val="center"/>
              <w:textAlignment w:val="center"/>
              <w:rPr>
                <w:rFonts w:ascii="宋体" w:hAnsi="宋体" w:cs="宋体"/>
                <w:kern w:val="0"/>
                <w:sz w:val="20"/>
                <w:szCs w:val="20"/>
              </w:rPr>
            </w:pPr>
            <w:r>
              <w:rPr>
                <w:rFonts w:hint="eastAsia" w:ascii="宋体" w:hAnsi="宋体" w:cs="宋体"/>
                <w:kern w:val="0"/>
                <w:sz w:val="20"/>
                <w:szCs w:val="20"/>
              </w:rPr>
              <w:t>5</w:t>
            </w:r>
          </w:p>
        </w:tc>
        <w:tc>
          <w:tcPr>
            <w:tcW w:w="3150" w:type="dxa"/>
            <w:vAlign w:val="center"/>
          </w:tcPr>
          <w:p>
            <w:pPr>
              <w:autoSpaceDE w:val="0"/>
              <w:autoSpaceDN w:val="0"/>
              <w:adjustRightInd w:val="0"/>
              <w:jc w:val="left"/>
              <w:rPr>
                <w:rFonts w:ascii="宋体" w:hAnsi="宋体" w:cs="宋体"/>
                <w:kern w:val="0"/>
                <w:sz w:val="20"/>
                <w:szCs w:val="20"/>
              </w:rPr>
            </w:pPr>
            <w:r>
              <w:rPr>
                <w:rFonts w:hint="eastAsia" w:ascii="宋体" w:hAnsi="宋体" w:cs="宋体"/>
                <w:kern w:val="0"/>
                <w:sz w:val="20"/>
                <w:szCs w:val="20"/>
              </w:rPr>
              <w:t>预算编制科学性</w:t>
            </w:r>
          </w:p>
        </w:tc>
        <w:tc>
          <w:tcPr>
            <w:tcW w:w="735" w:type="dxa"/>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3</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vAlign w:val="center"/>
          </w:tcPr>
          <w:p>
            <w:pPr>
              <w:autoSpaceDE w:val="0"/>
              <w:autoSpaceDN w:val="0"/>
              <w:adjustRightInd w:val="0"/>
              <w:jc w:val="center"/>
              <w:rPr>
                <w:rFonts w:ascii="宋体" w:hAnsi="宋体" w:cs="宋体"/>
                <w:kern w:val="0"/>
                <w:sz w:val="20"/>
                <w:szCs w:val="20"/>
              </w:rPr>
            </w:pPr>
          </w:p>
        </w:tc>
        <w:tc>
          <w:tcPr>
            <w:tcW w:w="690" w:type="dxa"/>
            <w:vMerge w:val="continue"/>
            <w:vAlign w:val="center"/>
          </w:tcPr>
          <w:p>
            <w:pPr>
              <w:widowControl/>
              <w:jc w:val="center"/>
              <w:textAlignment w:val="center"/>
              <w:rPr>
                <w:rFonts w:ascii="宋体" w:hAnsi="宋体" w:cs="宋体"/>
                <w:kern w:val="0"/>
                <w:sz w:val="20"/>
                <w:szCs w:val="20"/>
              </w:rPr>
            </w:pPr>
          </w:p>
        </w:tc>
        <w:tc>
          <w:tcPr>
            <w:tcW w:w="3150" w:type="dxa"/>
            <w:vAlign w:val="center"/>
          </w:tcPr>
          <w:p>
            <w:pPr>
              <w:autoSpaceDE w:val="0"/>
              <w:autoSpaceDN w:val="0"/>
              <w:adjustRightInd w:val="0"/>
              <w:jc w:val="left"/>
              <w:rPr>
                <w:rFonts w:ascii="宋体" w:hAnsi="宋体" w:cs="宋体"/>
                <w:kern w:val="0"/>
                <w:sz w:val="20"/>
                <w:szCs w:val="20"/>
              </w:rPr>
            </w:pPr>
            <w:r>
              <w:rPr>
                <w:rFonts w:hint="eastAsia" w:ascii="宋体" w:hAnsi="宋体" w:cs="宋体"/>
                <w:kern w:val="0"/>
                <w:sz w:val="20"/>
                <w:szCs w:val="20"/>
              </w:rPr>
              <w:t>资金分配合理性</w:t>
            </w:r>
          </w:p>
        </w:tc>
        <w:tc>
          <w:tcPr>
            <w:tcW w:w="735" w:type="dxa"/>
            <w:vAlign w:val="center"/>
          </w:tcPr>
          <w:p>
            <w:pPr>
              <w:widowControl/>
              <w:jc w:val="center"/>
              <w:textAlignment w:val="center"/>
              <w:rPr>
                <w:rFonts w:ascii="宋体" w:hAnsi="宋体" w:cs="宋体"/>
                <w:kern w:val="0"/>
                <w:sz w:val="20"/>
                <w:szCs w:val="20"/>
              </w:rPr>
            </w:pPr>
            <w:r>
              <w:rPr>
                <w:rFonts w:hint="eastAsia" w:ascii="宋体" w:hAnsi="宋体" w:cs="宋体"/>
                <w:color w:val="000000"/>
                <w:kern w:val="0"/>
                <w:sz w:val="20"/>
                <w:szCs w:val="20"/>
                <w:lang w:bidi="ar"/>
              </w:rPr>
              <w:t>2</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restart"/>
            <w:vAlign w:val="center"/>
          </w:tcPr>
          <w:p>
            <w:pPr>
              <w:jc w:val="center"/>
              <w:rPr>
                <w:rFonts w:ascii="宋体" w:hAnsi="宋体" w:cs="宋体"/>
                <w:sz w:val="20"/>
                <w:szCs w:val="20"/>
              </w:rPr>
            </w:pPr>
            <w:r>
              <w:rPr>
                <w:rFonts w:hint="eastAsia" w:ascii="宋体" w:hAnsi="宋体" w:cs="宋体"/>
                <w:sz w:val="20"/>
                <w:szCs w:val="20"/>
              </w:rPr>
              <w:t>过程</w:t>
            </w:r>
          </w:p>
        </w:tc>
        <w:tc>
          <w:tcPr>
            <w:tcW w:w="660" w:type="dxa"/>
            <w:vMerge w:val="restart"/>
            <w:vAlign w:val="center"/>
          </w:tcPr>
          <w:p>
            <w:pPr>
              <w:jc w:val="center"/>
              <w:rPr>
                <w:rFonts w:ascii="宋体" w:hAnsi="宋体" w:cs="宋体"/>
                <w:sz w:val="20"/>
                <w:szCs w:val="20"/>
              </w:rPr>
            </w:pPr>
            <w:r>
              <w:rPr>
                <w:rFonts w:hint="eastAsia" w:ascii="宋体" w:hAnsi="宋体" w:cs="宋体"/>
                <w:sz w:val="20"/>
                <w:szCs w:val="20"/>
              </w:rPr>
              <w:t>15</w:t>
            </w:r>
          </w:p>
        </w:tc>
        <w:tc>
          <w:tcPr>
            <w:tcW w:w="1500" w:type="dxa"/>
            <w:vMerge w:val="restart"/>
            <w:vAlign w:val="center"/>
          </w:tcPr>
          <w:p>
            <w:pPr>
              <w:jc w:val="center"/>
              <w:rPr>
                <w:rFonts w:ascii="宋体" w:hAnsi="宋体" w:cs="宋体"/>
                <w:sz w:val="20"/>
                <w:szCs w:val="20"/>
              </w:rPr>
            </w:pPr>
            <w:r>
              <w:rPr>
                <w:rFonts w:hint="eastAsia" w:ascii="宋体" w:hAnsi="宋体" w:cs="宋体"/>
                <w:color w:val="000000"/>
                <w:kern w:val="0"/>
                <w:sz w:val="20"/>
                <w:szCs w:val="20"/>
              </w:rPr>
              <w:t>资金管理</w:t>
            </w:r>
          </w:p>
        </w:tc>
        <w:tc>
          <w:tcPr>
            <w:tcW w:w="690" w:type="dxa"/>
            <w:vMerge w:val="restart"/>
            <w:vAlign w:val="center"/>
          </w:tcPr>
          <w:p>
            <w:pPr>
              <w:widowControl/>
              <w:jc w:val="center"/>
              <w:textAlignment w:val="center"/>
              <w:rPr>
                <w:rFonts w:ascii="宋体" w:hAnsi="宋体" w:cs="宋体"/>
                <w:sz w:val="20"/>
                <w:szCs w:val="20"/>
              </w:rPr>
            </w:pPr>
            <w:r>
              <w:rPr>
                <w:rFonts w:hint="eastAsia" w:ascii="宋体" w:hAnsi="宋体" w:cs="宋体"/>
                <w:sz w:val="20"/>
                <w:szCs w:val="20"/>
              </w:rPr>
              <w:t>8</w:t>
            </w:r>
          </w:p>
        </w:tc>
        <w:tc>
          <w:tcPr>
            <w:tcW w:w="3150" w:type="dxa"/>
            <w:vAlign w:val="center"/>
          </w:tcPr>
          <w:p>
            <w:pPr>
              <w:widowControl/>
              <w:spacing w:line="320" w:lineRule="exact"/>
              <w:jc w:val="left"/>
              <w:rPr>
                <w:rFonts w:ascii="宋体" w:hAnsi="宋体" w:cs="宋体"/>
                <w:sz w:val="20"/>
                <w:szCs w:val="20"/>
              </w:rPr>
            </w:pPr>
            <w:r>
              <w:rPr>
                <w:rFonts w:hint="eastAsia" w:ascii="宋体" w:hAnsi="宋体" w:cs="宋体"/>
                <w:color w:val="000000"/>
                <w:kern w:val="0"/>
                <w:sz w:val="20"/>
                <w:szCs w:val="20"/>
              </w:rPr>
              <w:t>财务管理制度健全性</w:t>
            </w:r>
          </w:p>
        </w:tc>
        <w:tc>
          <w:tcPr>
            <w:tcW w:w="735"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tcPr>
          <w:p>
            <w:pPr>
              <w:spacing w:after="156" w:afterLines="50"/>
              <w:jc w:val="center"/>
              <w:rPr>
                <w:rFonts w:ascii="宋体" w:hAnsi="宋体" w:cs="宋体"/>
                <w:b/>
                <w:bCs/>
                <w:sz w:val="20"/>
                <w:szCs w:val="20"/>
              </w:rPr>
            </w:pPr>
          </w:p>
        </w:tc>
        <w:tc>
          <w:tcPr>
            <w:tcW w:w="690" w:type="dxa"/>
            <w:vMerge w:val="continue"/>
          </w:tcPr>
          <w:p>
            <w:pPr>
              <w:spacing w:after="156" w:afterLines="50"/>
              <w:jc w:val="center"/>
              <w:rPr>
                <w:rFonts w:ascii="宋体" w:hAnsi="宋体" w:cs="宋体"/>
                <w:b/>
                <w:bCs/>
                <w:sz w:val="20"/>
                <w:szCs w:val="20"/>
              </w:rPr>
            </w:pPr>
          </w:p>
        </w:tc>
        <w:tc>
          <w:tcPr>
            <w:tcW w:w="3150" w:type="dxa"/>
            <w:vAlign w:val="center"/>
          </w:tcPr>
          <w:p>
            <w:pPr>
              <w:widowControl/>
              <w:spacing w:line="320" w:lineRule="exact"/>
              <w:jc w:val="left"/>
              <w:rPr>
                <w:rFonts w:ascii="宋体" w:hAnsi="宋体" w:cs="宋体"/>
                <w:color w:val="000000"/>
                <w:kern w:val="0"/>
                <w:sz w:val="20"/>
                <w:szCs w:val="20"/>
              </w:rPr>
            </w:pPr>
            <w:r>
              <w:rPr>
                <w:rFonts w:ascii="宋体" w:hAnsi="宋体" w:cs="宋体"/>
                <w:color w:val="000000"/>
                <w:kern w:val="0"/>
                <w:sz w:val="20"/>
                <w:szCs w:val="20"/>
              </w:rPr>
              <w:t>资金到位率</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tcPr>
          <w:p>
            <w:pPr>
              <w:spacing w:after="156" w:afterLines="50"/>
              <w:jc w:val="center"/>
              <w:rPr>
                <w:rFonts w:ascii="宋体" w:hAnsi="宋体" w:cs="宋体"/>
                <w:b/>
                <w:bCs/>
                <w:sz w:val="20"/>
                <w:szCs w:val="20"/>
              </w:rPr>
            </w:pPr>
          </w:p>
        </w:tc>
        <w:tc>
          <w:tcPr>
            <w:tcW w:w="690" w:type="dxa"/>
            <w:vMerge w:val="continue"/>
          </w:tcPr>
          <w:p>
            <w:pPr>
              <w:spacing w:after="156" w:afterLines="50"/>
              <w:jc w:val="center"/>
              <w:rPr>
                <w:rFonts w:ascii="宋体" w:hAnsi="宋体" w:cs="宋体"/>
                <w:b/>
                <w:bCs/>
                <w:sz w:val="20"/>
                <w:szCs w:val="20"/>
              </w:rPr>
            </w:pPr>
          </w:p>
        </w:tc>
        <w:tc>
          <w:tcPr>
            <w:tcW w:w="3150" w:type="dxa"/>
            <w:vAlign w:val="center"/>
          </w:tcPr>
          <w:p>
            <w:pPr>
              <w:widowControl/>
              <w:spacing w:line="320" w:lineRule="exact"/>
              <w:jc w:val="left"/>
              <w:rPr>
                <w:rFonts w:ascii="宋体" w:hAnsi="宋体" w:cs="宋体"/>
                <w:color w:val="000000"/>
                <w:kern w:val="0"/>
                <w:sz w:val="20"/>
                <w:szCs w:val="20"/>
              </w:rPr>
            </w:pPr>
            <w:r>
              <w:rPr>
                <w:rFonts w:ascii="宋体" w:hAnsi="宋体" w:cs="宋体"/>
                <w:color w:val="000000"/>
                <w:kern w:val="0"/>
                <w:sz w:val="20"/>
                <w:szCs w:val="20"/>
              </w:rPr>
              <w:t>预算执行率</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tcPr>
          <w:p>
            <w:pPr>
              <w:spacing w:after="156" w:afterLines="50"/>
              <w:jc w:val="center"/>
              <w:rPr>
                <w:rFonts w:ascii="宋体" w:hAnsi="宋体" w:cs="宋体"/>
                <w:b/>
                <w:bCs/>
                <w:sz w:val="20"/>
                <w:szCs w:val="20"/>
              </w:rPr>
            </w:pPr>
          </w:p>
        </w:tc>
        <w:tc>
          <w:tcPr>
            <w:tcW w:w="690" w:type="dxa"/>
            <w:vMerge w:val="continue"/>
          </w:tcPr>
          <w:p>
            <w:pPr>
              <w:spacing w:after="156" w:afterLines="50"/>
              <w:jc w:val="center"/>
              <w:rPr>
                <w:rFonts w:ascii="宋体" w:hAnsi="宋体" w:cs="宋体"/>
                <w:b/>
                <w:bCs/>
                <w:sz w:val="20"/>
                <w:szCs w:val="20"/>
              </w:rPr>
            </w:pPr>
          </w:p>
        </w:tc>
        <w:tc>
          <w:tcPr>
            <w:tcW w:w="3150" w:type="dxa"/>
            <w:vAlign w:val="center"/>
          </w:tcPr>
          <w:p>
            <w:pPr>
              <w:widowControl/>
              <w:spacing w:line="320" w:lineRule="exact"/>
              <w:jc w:val="left"/>
              <w:rPr>
                <w:rFonts w:ascii="宋体" w:hAnsi="宋体" w:cs="宋体"/>
                <w:sz w:val="20"/>
                <w:szCs w:val="20"/>
              </w:rPr>
            </w:pPr>
            <w:r>
              <w:rPr>
                <w:rFonts w:hint="eastAsia" w:ascii="宋体" w:hAnsi="宋体" w:cs="宋体"/>
                <w:color w:val="000000"/>
                <w:kern w:val="0"/>
                <w:sz w:val="20"/>
                <w:szCs w:val="20"/>
              </w:rPr>
              <w:t>资金使用合规性</w:t>
            </w:r>
          </w:p>
        </w:tc>
        <w:tc>
          <w:tcPr>
            <w:tcW w:w="735"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2</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restart"/>
            <w:vAlign w:val="center"/>
          </w:tcPr>
          <w:p>
            <w:pPr>
              <w:jc w:val="center"/>
              <w:rPr>
                <w:rFonts w:ascii="宋体" w:hAnsi="宋体" w:cs="宋体"/>
                <w:sz w:val="20"/>
                <w:szCs w:val="20"/>
              </w:rPr>
            </w:pPr>
            <w:r>
              <w:rPr>
                <w:rFonts w:hint="eastAsia" w:ascii="宋体" w:hAnsi="宋体" w:cs="宋体"/>
                <w:color w:val="000000"/>
                <w:kern w:val="0"/>
                <w:sz w:val="20"/>
                <w:szCs w:val="20"/>
              </w:rPr>
              <w:t>组织实施</w:t>
            </w:r>
          </w:p>
        </w:tc>
        <w:tc>
          <w:tcPr>
            <w:tcW w:w="690" w:type="dxa"/>
            <w:vMerge w:val="restart"/>
            <w:vAlign w:val="center"/>
          </w:tcPr>
          <w:p>
            <w:pPr>
              <w:widowControl/>
              <w:jc w:val="center"/>
              <w:textAlignment w:val="center"/>
              <w:rPr>
                <w:rFonts w:ascii="宋体" w:hAnsi="宋体" w:cs="宋体"/>
                <w:sz w:val="20"/>
                <w:szCs w:val="20"/>
              </w:rPr>
            </w:pPr>
            <w:r>
              <w:rPr>
                <w:rFonts w:hint="eastAsia" w:ascii="宋体" w:hAnsi="宋体" w:cs="宋体"/>
                <w:sz w:val="20"/>
                <w:szCs w:val="20"/>
              </w:rPr>
              <w:t>7</w:t>
            </w:r>
          </w:p>
        </w:tc>
        <w:tc>
          <w:tcPr>
            <w:tcW w:w="3150" w:type="dxa"/>
            <w:vAlign w:val="center"/>
          </w:tcPr>
          <w:p>
            <w:pPr>
              <w:widowControl/>
              <w:spacing w:line="320" w:lineRule="exact"/>
              <w:jc w:val="left"/>
              <w:rPr>
                <w:rFonts w:ascii="宋体" w:hAnsi="宋体" w:cs="宋体"/>
                <w:color w:val="000000"/>
                <w:kern w:val="0"/>
                <w:sz w:val="20"/>
                <w:szCs w:val="20"/>
              </w:rPr>
            </w:pPr>
            <w:r>
              <w:rPr>
                <w:rFonts w:hint="eastAsia" w:ascii="宋体" w:hAnsi="宋体" w:cs="宋体"/>
                <w:color w:val="000000"/>
                <w:kern w:val="0"/>
                <w:sz w:val="20"/>
                <w:szCs w:val="20"/>
              </w:rPr>
              <w:t>组织机构</w:t>
            </w:r>
          </w:p>
        </w:tc>
        <w:tc>
          <w:tcPr>
            <w:tcW w:w="735"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tcPr>
          <w:p>
            <w:pPr>
              <w:spacing w:after="156" w:afterLines="50"/>
              <w:jc w:val="center"/>
              <w:rPr>
                <w:rFonts w:ascii="宋体" w:hAnsi="宋体" w:cs="宋体"/>
                <w:b/>
                <w:bCs/>
                <w:sz w:val="20"/>
                <w:szCs w:val="20"/>
              </w:rPr>
            </w:pPr>
          </w:p>
        </w:tc>
        <w:tc>
          <w:tcPr>
            <w:tcW w:w="690" w:type="dxa"/>
            <w:vMerge w:val="continue"/>
          </w:tcPr>
          <w:p>
            <w:pPr>
              <w:spacing w:after="156" w:afterLines="50"/>
              <w:jc w:val="center"/>
              <w:rPr>
                <w:rFonts w:ascii="宋体" w:hAnsi="宋体" w:cs="宋体"/>
                <w:b/>
                <w:bCs/>
                <w:sz w:val="20"/>
                <w:szCs w:val="20"/>
              </w:rPr>
            </w:pPr>
          </w:p>
        </w:tc>
        <w:tc>
          <w:tcPr>
            <w:tcW w:w="3150" w:type="dxa"/>
            <w:vAlign w:val="center"/>
          </w:tcPr>
          <w:p>
            <w:pPr>
              <w:widowControl/>
              <w:spacing w:line="320" w:lineRule="exact"/>
              <w:jc w:val="left"/>
              <w:rPr>
                <w:rFonts w:ascii="宋体" w:hAnsi="宋体" w:cs="宋体"/>
                <w:color w:val="000000"/>
                <w:kern w:val="0"/>
                <w:sz w:val="20"/>
                <w:szCs w:val="20"/>
              </w:rPr>
            </w:pPr>
            <w:r>
              <w:rPr>
                <w:rFonts w:ascii="宋体" w:hAnsi="宋体" w:cs="宋体"/>
                <w:color w:val="000000"/>
                <w:kern w:val="0"/>
                <w:sz w:val="20"/>
                <w:szCs w:val="20"/>
              </w:rPr>
              <w:t>绿化设计及执行</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tcPr>
          <w:p>
            <w:pPr>
              <w:spacing w:after="156" w:afterLines="50"/>
              <w:jc w:val="center"/>
              <w:rPr>
                <w:rFonts w:ascii="宋体" w:hAnsi="宋体" w:cs="宋体"/>
                <w:b/>
                <w:bCs/>
                <w:sz w:val="20"/>
                <w:szCs w:val="20"/>
              </w:rPr>
            </w:pPr>
          </w:p>
        </w:tc>
        <w:tc>
          <w:tcPr>
            <w:tcW w:w="690" w:type="dxa"/>
            <w:vMerge w:val="continue"/>
          </w:tcPr>
          <w:p>
            <w:pPr>
              <w:spacing w:after="156" w:afterLines="50"/>
              <w:jc w:val="center"/>
              <w:rPr>
                <w:rFonts w:ascii="宋体" w:hAnsi="宋体" w:cs="宋体"/>
                <w:b/>
                <w:bCs/>
                <w:sz w:val="20"/>
                <w:szCs w:val="20"/>
              </w:rPr>
            </w:pPr>
          </w:p>
        </w:tc>
        <w:tc>
          <w:tcPr>
            <w:tcW w:w="3150" w:type="dxa"/>
            <w:vAlign w:val="center"/>
          </w:tcPr>
          <w:p>
            <w:pPr>
              <w:widowControl/>
              <w:spacing w:line="320" w:lineRule="exact"/>
              <w:jc w:val="left"/>
              <w:rPr>
                <w:rFonts w:ascii="宋体" w:hAnsi="宋体" w:cs="宋体"/>
                <w:color w:val="000000"/>
                <w:kern w:val="0"/>
                <w:sz w:val="20"/>
                <w:szCs w:val="20"/>
              </w:rPr>
            </w:pPr>
            <w:r>
              <w:rPr>
                <w:rFonts w:hint="eastAsia" w:ascii="宋体" w:hAnsi="宋体" w:cs="宋体"/>
                <w:color w:val="000000"/>
                <w:kern w:val="0"/>
                <w:sz w:val="20"/>
                <w:szCs w:val="20"/>
              </w:rPr>
              <w:t>招投标管理制度及执行</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tcPr>
          <w:p>
            <w:pPr>
              <w:spacing w:after="156" w:afterLines="50"/>
              <w:jc w:val="center"/>
              <w:rPr>
                <w:rFonts w:ascii="宋体" w:hAnsi="宋体" w:cs="宋体"/>
                <w:b/>
                <w:bCs/>
                <w:sz w:val="20"/>
                <w:szCs w:val="20"/>
              </w:rPr>
            </w:pPr>
          </w:p>
        </w:tc>
        <w:tc>
          <w:tcPr>
            <w:tcW w:w="690" w:type="dxa"/>
            <w:vMerge w:val="continue"/>
          </w:tcPr>
          <w:p>
            <w:pPr>
              <w:spacing w:after="156" w:afterLines="50"/>
              <w:jc w:val="center"/>
              <w:rPr>
                <w:rFonts w:ascii="宋体" w:hAnsi="宋体" w:cs="宋体"/>
                <w:b/>
                <w:bCs/>
                <w:sz w:val="20"/>
                <w:szCs w:val="20"/>
              </w:rPr>
            </w:pPr>
          </w:p>
        </w:tc>
        <w:tc>
          <w:tcPr>
            <w:tcW w:w="3150" w:type="dxa"/>
            <w:vAlign w:val="center"/>
          </w:tcPr>
          <w:p>
            <w:pPr>
              <w:widowControl/>
              <w:spacing w:line="320" w:lineRule="exact"/>
              <w:jc w:val="left"/>
              <w:rPr>
                <w:rFonts w:ascii="宋体" w:hAnsi="宋体" w:cs="宋体"/>
                <w:color w:val="000000"/>
                <w:kern w:val="0"/>
                <w:sz w:val="20"/>
                <w:szCs w:val="20"/>
              </w:rPr>
            </w:pPr>
            <w:r>
              <w:rPr>
                <w:rFonts w:hint="eastAsia" w:ascii="宋体" w:hAnsi="宋体" w:cs="宋体"/>
                <w:color w:val="000000"/>
                <w:kern w:val="0"/>
                <w:sz w:val="20"/>
                <w:szCs w:val="20"/>
              </w:rPr>
              <w:t>合同管理制度及执行</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tcPr>
          <w:p>
            <w:pPr>
              <w:spacing w:after="156" w:afterLines="50"/>
              <w:jc w:val="center"/>
              <w:rPr>
                <w:rFonts w:ascii="宋体" w:hAnsi="宋体" w:cs="宋体"/>
                <w:b/>
                <w:bCs/>
                <w:sz w:val="20"/>
                <w:szCs w:val="20"/>
              </w:rPr>
            </w:pPr>
          </w:p>
        </w:tc>
        <w:tc>
          <w:tcPr>
            <w:tcW w:w="690" w:type="dxa"/>
            <w:vMerge w:val="continue"/>
          </w:tcPr>
          <w:p>
            <w:pPr>
              <w:spacing w:after="156" w:afterLines="50"/>
              <w:jc w:val="center"/>
              <w:rPr>
                <w:rFonts w:ascii="宋体" w:hAnsi="宋体" w:cs="宋体"/>
                <w:b/>
                <w:bCs/>
                <w:sz w:val="20"/>
                <w:szCs w:val="20"/>
              </w:rPr>
            </w:pPr>
          </w:p>
        </w:tc>
        <w:tc>
          <w:tcPr>
            <w:tcW w:w="3150" w:type="dxa"/>
            <w:vAlign w:val="center"/>
          </w:tcPr>
          <w:p>
            <w:pPr>
              <w:widowControl/>
              <w:spacing w:line="320" w:lineRule="exact"/>
              <w:jc w:val="left"/>
              <w:rPr>
                <w:rFonts w:ascii="宋体" w:hAnsi="宋体" w:cs="宋体"/>
                <w:color w:val="000000"/>
                <w:kern w:val="0"/>
                <w:sz w:val="20"/>
                <w:szCs w:val="20"/>
              </w:rPr>
            </w:pPr>
            <w:r>
              <w:rPr>
                <w:rFonts w:hint="eastAsia" w:ascii="宋体" w:hAnsi="宋体" w:cs="宋体"/>
                <w:color w:val="000000"/>
                <w:kern w:val="0"/>
                <w:sz w:val="20"/>
                <w:szCs w:val="20"/>
              </w:rPr>
              <w:t>工程监理制度及执行</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rPr>
            </w:pPr>
          </w:p>
        </w:tc>
        <w:tc>
          <w:tcPr>
            <w:tcW w:w="1500" w:type="dxa"/>
            <w:vMerge w:val="continue"/>
          </w:tcPr>
          <w:p>
            <w:pPr>
              <w:spacing w:after="156" w:afterLines="50"/>
              <w:jc w:val="center"/>
              <w:rPr>
                <w:rFonts w:ascii="宋体" w:hAnsi="宋体" w:cs="宋体"/>
                <w:b/>
                <w:bCs/>
                <w:sz w:val="20"/>
                <w:szCs w:val="20"/>
              </w:rPr>
            </w:pPr>
          </w:p>
        </w:tc>
        <w:tc>
          <w:tcPr>
            <w:tcW w:w="690" w:type="dxa"/>
            <w:vMerge w:val="continue"/>
          </w:tcPr>
          <w:p>
            <w:pPr>
              <w:spacing w:after="156" w:afterLines="50"/>
              <w:jc w:val="center"/>
              <w:rPr>
                <w:rFonts w:ascii="宋体" w:hAnsi="宋体" w:cs="宋体"/>
                <w:b/>
                <w:bCs/>
                <w:sz w:val="20"/>
                <w:szCs w:val="20"/>
              </w:rPr>
            </w:pPr>
          </w:p>
        </w:tc>
        <w:tc>
          <w:tcPr>
            <w:tcW w:w="3150" w:type="dxa"/>
            <w:vAlign w:val="center"/>
          </w:tcPr>
          <w:p>
            <w:pPr>
              <w:widowControl/>
              <w:spacing w:line="320" w:lineRule="exact"/>
              <w:jc w:val="left"/>
              <w:rPr>
                <w:rFonts w:ascii="宋体" w:hAnsi="宋体" w:cs="宋体"/>
                <w:color w:val="000000"/>
                <w:kern w:val="0"/>
                <w:sz w:val="20"/>
                <w:szCs w:val="20"/>
              </w:rPr>
            </w:pPr>
            <w:r>
              <w:rPr>
                <w:rFonts w:hint="eastAsia" w:ascii="宋体" w:hAnsi="宋体" w:cs="宋体"/>
                <w:color w:val="000000"/>
                <w:kern w:val="0"/>
                <w:sz w:val="20"/>
                <w:szCs w:val="20"/>
              </w:rPr>
              <w:t>项目变更情况</w:t>
            </w:r>
          </w:p>
        </w:tc>
        <w:tc>
          <w:tcPr>
            <w:tcW w:w="735" w:type="dxa"/>
            <w:vAlign w:val="center"/>
          </w:tcPr>
          <w:p>
            <w:pPr>
              <w:widowControl/>
              <w:jc w:val="center"/>
              <w:textAlignment w:val="center"/>
              <w:rPr>
                <w:rFonts w:ascii="宋体" w:hAnsi="宋体" w:cs="宋体"/>
                <w:sz w:val="20"/>
                <w:szCs w:val="20"/>
              </w:rPr>
            </w:pPr>
            <w:r>
              <w:rPr>
                <w:rFonts w:hint="eastAsia" w:ascii="宋体" w:hAnsi="宋体" w:cs="宋体"/>
                <w:color w:val="000000"/>
                <w:kern w:val="0"/>
                <w:sz w:val="20"/>
                <w:szCs w:val="20"/>
                <w:lang w:bidi="ar"/>
              </w:rPr>
              <w:t>1</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tcPr>
          <w:p>
            <w:pPr>
              <w:spacing w:after="156" w:afterLines="50"/>
              <w:jc w:val="center"/>
              <w:rPr>
                <w:rFonts w:ascii="宋体" w:hAnsi="宋体" w:cs="宋体"/>
                <w:b/>
                <w:bCs/>
                <w:sz w:val="20"/>
                <w:szCs w:val="20"/>
              </w:rPr>
            </w:pPr>
          </w:p>
        </w:tc>
        <w:tc>
          <w:tcPr>
            <w:tcW w:w="660" w:type="dxa"/>
            <w:vMerge w:val="continue"/>
          </w:tcPr>
          <w:p>
            <w:pPr>
              <w:spacing w:after="156" w:afterLines="50"/>
              <w:jc w:val="center"/>
              <w:rPr>
                <w:rFonts w:ascii="宋体" w:hAnsi="宋体" w:cs="宋体"/>
                <w:b/>
                <w:bCs/>
                <w:sz w:val="20"/>
                <w:szCs w:val="20"/>
                <w:highlight w:val="yellow"/>
              </w:rPr>
            </w:pPr>
          </w:p>
        </w:tc>
        <w:tc>
          <w:tcPr>
            <w:tcW w:w="1500" w:type="dxa"/>
            <w:vMerge w:val="continue"/>
          </w:tcPr>
          <w:p>
            <w:pPr>
              <w:spacing w:after="156" w:afterLines="50"/>
              <w:jc w:val="center"/>
              <w:rPr>
                <w:rFonts w:ascii="宋体" w:hAnsi="宋体" w:cs="宋体"/>
                <w:b/>
                <w:bCs/>
                <w:sz w:val="20"/>
                <w:szCs w:val="20"/>
                <w:highlight w:val="yellow"/>
              </w:rPr>
            </w:pPr>
          </w:p>
        </w:tc>
        <w:tc>
          <w:tcPr>
            <w:tcW w:w="690" w:type="dxa"/>
            <w:vMerge w:val="continue"/>
          </w:tcPr>
          <w:p>
            <w:pPr>
              <w:spacing w:after="156" w:afterLines="50"/>
              <w:jc w:val="center"/>
              <w:rPr>
                <w:rFonts w:ascii="宋体" w:hAnsi="宋体" w:cs="宋体"/>
                <w:b/>
                <w:bCs/>
                <w:szCs w:val="20"/>
                <w:highlight w:val="yellow"/>
              </w:rPr>
            </w:pPr>
          </w:p>
        </w:tc>
        <w:tc>
          <w:tcPr>
            <w:tcW w:w="3150" w:type="dxa"/>
            <w:vAlign w:val="center"/>
          </w:tcPr>
          <w:p>
            <w:pPr>
              <w:widowControl/>
              <w:spacing w:line="320" w:lineRule="exact"/>
              <w:jc w:val="left"/>
              <w:rPr>
                <w:rFonts w:ascii="宋体" w:hAnsi="宋体" w:cs="宋体"/>
                <w:color w:val="000000"/>
                <w:kern w:val="0"/>
                <w:szCs w:val="20"/>
              </w:rPr>
            </w:pPr>
            <w:r>
              <w:rPr>
                <w:rFonts w:hint="eastAsia" w:ascii="宋体" w:hAnsi="宋体" w:cs="宋体"/>
                <w:color w:val="000000"/>
                <w:kern w:val="0"/>
                <w:sz w:val="20"/>
                <w:szCs w:val="20"/>
              </w:rPr>
              <w:t>档案管理制度及执行</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restart"/>
            <w:vAlign w:val="center"/>
          </w:tcPr>
          <w:p>
            <w:pPr>
              <w:jc w:val="center"/>
              <w:rPr>
                <w:rFonts w:ascii="宋体" w:hAnsi="宋体" w:cs="宋体"/>
                <w:sz w:val="20"/>
                <w:szCs w:val="20"/>
              </w:rPr>
            </w:pPr>
            <w:r>
              <w:rPr>
                <w:rFonts w:hint="eastAsia" w:ascii="宋体" w:hAnsi="宋体" w:cs="宋体"/>
                <w:sz w:val="20"/>
                <w:szCs w:val="20"/>
              </w:rPr>
              <w:t>产出</w:t>
            </w:r>
          </w:p>
        </w:tc>
        <w:tc>
          <w:tcPr>
            <w:tcW w:w="660" w:type="dxa"/>
            <w:vMerge w:val="restart"/>
            <w:vAlign w:val="center"/>
          </w:tcPr>
          <w:p>
            <w:pPr>
              <w:jc w:val="center"/>
              <w:rPr>
                <w:rFonts w:ascii="宋体" w:hAnsi="宋体" w:cs="宋体"/>
                <w:sz w:val="20"/>
                <w:szCs w:val="20"/>
              </w:rPr>
            </w:pPr>
            <w:r>
              <w:rPr>
                <w:rFonts w:hint="eastAsia" w:ascii="宋体" w:hAnsi="宋体" w:cs="宋体"/>
                <w:sz w:val="20"/>
                <w:szCs w:val="20"/>
              </w:rPr>
              <w:t>35</w:t>
            </w:r>
          </w:p>
        </w:tc>
        <w:tc>
          <w:tcPr>
            <w:tcW w:w="1500" w:type="dxa"/>
            <w:vMerge w:val="restart"/>
            <w:vAlign w:val="center"/>
          </w:tcPr>
          <w:p>
            <w:pPr>
              <w:jc w:val="center"/>
              <w:rPr>
                <w:rFonts w:ascii="宋体" w:hAnsi="宋体" w:cs="宋体"/>
                <w:sz w:val="20"/>
                <w:szCs w:val="20"/>
                <w:highlight w:val="yellow"/>
              </w:rPr>
            </w:pPr>
            <w:r>
              <w:rPr>
                <w:rFonts w:ascii="宋体" w:hAnsi="宋体" w:cs="宋体"/>
                <w:sz w:val="20"/>
                <w:szCs w:val="20"/>
              </w:rPr>
              <w:t>产出数量</w:t>
            </w:r>
          </w:p>
        </w:tc>
        <w:tc>
          <w:tcPr>
            <w:tcW w:w="690" w:type="dxa"/>
            <w:vMerge w:val="restart"/>
            <w:vAlign w:val="center"/>
          </w:tcPr>
          <w:p>
            <w:pPr>
              <w:widowControl/>
              <w:jc w:val="center"/>
              <w:textAlignment w:val="center"/>
              <w:rPr>
                <w:rFonts w:ascii="宋体" w:hAnsi="宋体" w:cs="宋体"/>
                <w:sz w:val="20"/>
                <w:szCs w:val="20"/>
              </w:rPr>
            </w:pPr>
            <w:r>
              <w:rPr>
                <w:rFonts w:hint="eastAsia" w:ascii="宋体" w:hAnsi="宋体" w:cs="宋体"/>
                <w:sz w:val="20"/>
                <w:szCs w:val="20"/>
              </w:rPr>
              <w:t>15</w:t>
            </w:r>
          </w:p>
        </w:tc>
        <w:tc>
          <w:tcPr>
            <w:tcW w:w="3150" w:type="dxa"/>
            <w:vAlign w:val="center"/>
          </w:tcPr>
          <w:p>
            <w:pPr>
              <w:widowControl/>
              <w:spacing w:line="320" w:lineRule="exact"/>
              <w:jc w:val="left"/>
              <w:rPr>
                <w:rFonts w:ascii="宋体" w:hAnsi="宋体" w:cs="宋体"/>
                <w:color w:val="000000"/>
                <w:kern w:val="0"/>
                <w:sz w:val="18"/>
                <w:szCs w:val="18"/>
              </w:rPr>
            </w:pPr>
            <w:r>
              <w:rPr>
                <w:rFonts w:hint="eastAsia" w:ascii="宋体" w:hAnsi="宋体" w:cs="宋体"/>
                <w:color w:val="000000"/>
                <w:kern w:val="0"/>
                <w:sz w:val="18"/>
                <w:szCs w:val="18"/>
              </w:rPr>
              <w:t>皂荚创新科技示范园栽植工程完成率</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vAlign w:val="center"/>
          </w:tcPr>
          <w:p>
            <w:pPr>
              <w:jc w:val="center"/>
              <w:rPr>
                <w:rFonts w:ascii="宋体" w:hAnsi="宋体" w:cs="宋体"/>
                <w:sz w:val="20"/>
                <w:szCs w:val="20"/>
              </w:rPr>
            </w:pPr>
          </w:p>
        </w:tc>
        <w:tc>
          <w:tcPr>
            <w:tcW w:w="660" w:type="dxa"/>
            <w:vMerge w:val="continue"/>
            <w:vAlign w:val="center"/>
          </w:tcPr>
          <w:p>
            <w:pPr>
              <w:jc w:val="center"/>
              <w:rPr>
                <w:rFonts w:ascii="宋体" w:hAnsi="宋体" w:cs="宋体"/>
                <w:sz w:val="20"/>
                <w:szCs w:val="20"/>
              </w:rPr>
            </w:pPr>
          </w:p>
        </w:tc>
        <w:tc>
          <w:tcPr>
            <w:tcW w:w="1500" w:type="dxa"/>
            <w:vMerge w:val="continue"/>
            <w:vAlign w:val="center"/>
          </w:tcPr>
          <w:p>
            <w:pPr>
              <w:jc w:val="center"/>
              <w:rPr>
                <w:rFonts w:ascii="宋体" w:hAnsi="宋体" w:cs="宋体"/>
                <w:sz w:val="20"/>
                <w:szCs w:val="20"/>
              </w:rPr>
            </w:pPr>
          </w:p>
        </w:tc>
        <w:tc>
          <w:tcPr>
            <w:tcW w:w="690" w:type="dxa"/>
            <w:vMerge w:val="continue"/>
            <w:vAlign w:val="center"/>
          </w:tcPr>
          <w:p>
            <w:pPr>
              <w:widowControl/>
              <w:jc w:val="center"/>
              <w:textAlignment w:val="center"/>
              <w:rPr>
                <w:rFonts w:ascii="宋体" w:hAnsi="宋体" w:cs="宋体"/>
                <w:sz w:val="20"/>
                <w:szCs w:val="20"/>
              </w:rPr>
            </w:pPr>
          </w:p>
        </w:tc>
        <w:tc>
          <w:tcPr>
            <w:tcW w:w="3150" w:type="dxa"/>
            <w:vAlign w:val="center"/>
          </w:tcPr>
          <w:p>
            <w:pPr>
              <w:widowControl/>
              <w:spacing w:line="320" w:lineRule="exact"/>
              <w:jc w:val="left"/>
              <w:rPr>
                <w:rFonts w:ascii="宋体" w:hAnsi="宋体" w:cs="宋体"/>
                <w:color w:val="000000"/>
                <w:kern w:val="0"/>
                <w:sz w:val="20"/>
                <w:szCs w:val="20"/>
              </w:rPr>
            </w:pPr>
            <w:r>
              <w:rPr>
                <w:rFonts w:hint="eastAsia" w:ascii="宋体" w:hAnsi="宋体" w:cs="宋体"/>
                <w:color w:val="000000"/>
                <w:kern w:val="0"/>
                <w:sz w:val="20"/>
                <w:szCs w:val="20"/>
              </w:rPr>
              <w:t>荒滩绿化工程完成率</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vAlign w:val="center"/>
          </w:tcPr>
          <w:p>
            <w:pPr>
              <w:jc w:val="center"/>
              <w:rPr>
                <w:rFonts w:ascii="宋体" w:hAnsi="宋体" w:cs="宋体"/>
                <w:sz w:val="20"/>
                <w:szCs w:val="20"/>
              </w:rPr>
            </w:pPr>
          </w:p>
        </w:tc>
        <w:tc>
          <w:tcPr>
            <w:tcW w:w="660" w:type="dxa"/>
            <w:vMerge w:val="continue"/>
            <w:vAlign w:val="center"/>
          </w:tcPr>
          <w:p>
            <w:pPr>
              <w:jc w:val="center"/>
              <w:rPr>
                <w:rFonts w:ascii="宋体" w:hAnsi="宋体" w:cs="宋体"/>
                <w:sz w:val="20"/>
                <w:szCs w:val="20"/>
              </w:rPr>
            </w:pPr>
          </w:p>
        </w:tc>
        <w:tc>
          <w:tcPr>
            <w:tcW w:w="1500" w:type="dxa"/>
            <w:vMerge w:val="continue"/>
            <w:vAlign w:val="center"/>
          </w:tcPr>
          <w:p>
            <w:pPr>
              <w:jc w:val="center"/>
              <w:rPr>
                <w:rFonts w:ascii="宋体" w:hAnsi="宋体" w:cs="宋体"/>
                <w:sz w:val="20"/>
                <w:szCs w:val="20"/>
              </w:rPr>
            </w:pPr>
          </w:p>
        </w:tc>
        <w:tc>
          <w:tcPr>
            <w:tcW w:w="690" w:type="dxa"/>
            <w:vMerge w:val="continue"/>
            <w:vAlign w:val="center"/>
          </w:tcPr>
          <w:p>
            <w:pPr>
              <w:widowControl/>
              <w:jc w:val="center"/>
              <w:textAlignment w:val="center"/>
              <w:rPr>
                <w:rFonts w:ascii="宋体" w:hAnsi="宋体" w:cs="宋体"/>
                <w:sz w:val="20"/>
                <w:szCs w:val="20"/>
              </w:rPr>
            </w:pPr>
          </w:p>
        </w:tc>
        <w:tc>
          <w:tcPr>
            <w:tcW w:w="3150" w:type="dxa"/>
            <w:vAlign w:val="center"/>
          </w:tcPr>
          <w:p>
            <w:pPr>
              <w:widowControl/>
              <w:spacing w:line="320" w:lineRule="exact"/>
              <w:jc w:val="left"/>
              <w:rPr>
                <w:rFonts w:ascii="宋体" w:hAnsi="宋体" w:cs="宋体"/>
                <w:color w:val="000000"/>
                <w:kern w:val="0"/>
                <w:sz w:val="20"/>
                <w:szCs w:val="20"/>
              </w:rPr>
            </w:pPr>
            <w:r>
              <w:rPr>
                <w:rFonts w:hint="eastAsia" w:ascii="宋体" w:hAnsi="宋体" w:cs="宋体"/>
                <w:color w:val="000000"/>
                <w:kern w:val="0"/>
                <w:sz w:val="18"/>
                <w:szCs w:val="18"/>
              </w:rPr>
              <w:t>全民义务植树基地建设工程完成率</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vAlign w:val="center"/>
          </w:tcPr>
          <w:p>
            <w:pPr>
              <w:jc w:val="center"/>
              <w:rPr>
                <w:rFonts w:ascii="宋体" w:hAnsi="宋体" w:cs="宋体"/>
                <w:sz w:val="20"/>
                <w:szCs w:val="20"/>
              </w:rPr>
            </w:pPr>
          </w:p>
        </w:tc>
        <w:tc>
          <w:tcPr>
            <w:tcW w:w="660" w:type="dxa"/>
            <w:vMerge w:val="continue"/>
            <w:vAlign w:val="center"/>
          </w:tcPr>
          <w:p>
            <w:pPr>
              <w:jc w:val="center"/>
              <w:rPr>
                <w:rFonts w:ascii="宋体" w:hAnsi="宋体" w:cs="宋体"/>
                <w:sz w:val="20"/>
                <w:szCs w:val="20"/>
              </w:rPr>
            </w:pPr>
          </w:p>
        </w:tc>
        <w:tc>
          <w:tcPr>
            <w:tcW w:w="1500" w:type="dxa"/>
            <w:vMerge w:val="restart"/>
            <w:vAlign w:val="center"/>
          </w:tcPr>
          <w:p>
            <w:pPr>
              <w:jc w:val="center"/>
              <w:rPr>
                <w:rFonts w:ascii="宋体" w:hAnsi="宋体" w:cs="宋体"/>
                <w:sz w:val="20"/>
                <w:szCs w:val="20"/>
              </w:rPr>
            </w:pPr>
            <w:r>
              <w:rPr>
                <w:rFonts w:ascii="宋体" w:hAnsi="宋体" w:cs="宋体"/>
                <w:sz w:val="20"/>
                <w:szCs w:val="20"/>
              </w:rPr>
              <w:t>产出质量</w:t>
            </w:r>
          </w:p>
        </w:tc>
        <w:tc>
          <w:tcPr>
            <w:tcW w:w="690" w:type="dxa"/>
            <w:vMerge w:val="restart"/>
            <w:vAlign w:val="center"/>
          </w:tcPr>
          <w:p>
            <w:pPr>
              <w:widowControl/>
              <w:jc w:val="center"/>
              <w:textAlignment w:val="center"/>
              <w:rPr>
                <w:rFonts w:ascii="宋体" w:hAnsi="宋体" w:cs="宋体"/>
                <w:sz w:val="20"/>
                <w:szCs w:val="20"/>
              </w:rPr>
            </w:pPr>
            <w:r>
              <w:rPr>
                <w:rFonts w:hint="eastAsia" w:ascii="宋体" w:hAnsi="宋体" w:cs="宋体"/>
                <w:sz w:val="20"/>
                <w:szCs w:val="20"/>
              </w:rPr>
              <w:t>10</w:t>
            </w:r>
          </w:p>
        </w:tc>
        <w:tc>
          <w:tcPr>
            <w:tcW w:w="3150" w:type="dxa"/>
            <w:vAlign w:val="center"/>
          </w:tcPr>
          <w:p>
            <w:pPr>
              <w:widowControl/>
              <w:spacing w:line="320" w:lineRule="exact"/>
              <w:jc w:val="left"/>
              <w:rPr>
                <w:rFonts w:ascii="宋体" w:hAnsi="宋体" w:cs="宋体"/>
                <w:color w:val="000000"/>
                <w:kern w:val="0"/>
                <w:sz w:val="20"/>
                <w:szCs w:val="20"/>
              </w:rPr>
            </w:pPr>
            <w:r>
              <w:rPr>
                <w:rFonts w:hint="eastAsia" w:ascii="宋体" w:hAnsi="宋体" w:cs="宋体"/>
                <w:color w:val="000000"/>
                <w:kern w:val="0"/>
                <w:sz w:val="20"/>
                <w:szCs w:val="20"/>
              </w:rPr>
              <w:t>竣工验收有效性</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vAlign w:val="center"/>
          </w:tcPr>
          <w:p>
            <w:pPr>
              <w:jc w:val="center"/>
              <w:rPr>
                <w:rFonts w:ascii="宋体" w:hAnsi="宋体" w:cs="宋体"/>
                <w:sz w:val="20"/>
                <w:szCs w:val="20"/>
              </w:rPr>
            </w:pPr>
          </w:p>
        </w:tc>
        <w:tc>
          <w:tcPr>
            <w:tcW w:w="660" w:type="dxa"/>
            <w:vMerge w:val="continue"/>
            <w:vAlign w:val="center"/>
          </w:tcPr>
          <w:p>
            <w:pPr>
              <w:jc w:val="center"/>
              <w:rPr>
                <w:rFonts w:ascii="宋体" w:hAnsi="宋体" w:cs="宋体"/>
                <w:sz w:val="20"/>
                <w:szCs w:val="20"/>
              </w:rPr>
            </w:pPr>
          </w:p>
        </w:tc>
        <w:tc>
          <w:tcPr>
            <w:tcW w:w="1500" w:type="dxa"/>
            <w:vMerge w:val="continue"/>
            <w:vAlign w:val="center"/>
          </w:tcPr>
          <w:p>
            <w:pPr>
              <w:jc w:val="center"/>
              <w:rPr>
                <w:rFonts w:ascii="宋体" w:hAnsi="宋体" w:cs="宋体"/>
                <w:sz w:val="20"/>
                <w:szCs w:val="20"/>
              </w:rPr>
            </w:pPr>
          </w:p>
        </w:tc>
        <w:tc>
          <w:tcPr>
            <w:tcW w:w="690" w:type="dxa"/>
            <w:vMerge w:val="continue"/>
            <w:vAlign w:val="center"/>
          </w:tcPr>
          <w:p>
            <w:pPr>
              <w:widowControl/>
              <w:jc w:val="center"/>
              <w:textAlignment w:val="center"/>
              <w:rPr>
                <w:rFonts w:ascii="宋体" w:hAnsi="宋体" w:cs="宋体"/>
                <w:sz w:val="20"/>
                <w:szCs w:val="20"/>
              </w:rPr>
            </w:pPr>
          </w:p>
        </w:tc>
        <w:tc>
          <w:tcPr>
            <w:tcW w:w="3150" w:type="dxa"/>
            <w:vAlign w:val="center"/>
          </w:tcPr>
          <w:p>
            <w:pPr>
              <w:widowControl/>
              <w:spacing w:line="320" w:lineRule="exact"/>
              <w:jc w:val="left"/>
              <w:rPr>
                <w:rFonts w:ascii="宋体" w:hAnsi="宋体" w:cs="宋体"/>
                <w:color w:val="000000"/>
                <w:kern w:val="0"/>
                <w:sz w:val="20"/>
                <w:szCs w:val="20"/>
              </w:rPr>
            </w:pPr>
            <w:r>
              <w:rPr>
                <w:rFonts w:hint="eastAsia" w:ascii="宋体" w:hAnsi="宋体" w:cs="宋体"/>
                <w:color w:val="000000"/>
                <w:kern w:val="0"/>
                <w:sz w:val="20"/>
                <w:szCs w:val="20"/>
              </w:rPr>
              <w:t>苗木成活率</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vAlign w:val="center"/>
          </w:tcPr>
          <w:p>
            <w:pPr>
              <w:jc w:val="center"/>
              <w:rPr>
                <w:rFonts w:ascii="宋体" w:hAnsi="宋体" w:cs="宋体"/>
                <w:sz w:val="20"/>
                <w:szCs w:val="20"/>
              </w:rPr>
            </w:pPr>
          </w:p>
        </w:tc>
        <w:tc>
          <w:tcPr>
            <w:tcW w:w="660" w:type="dxa"/>
            <w:vMerge w:val="continue"/>
            <w:vAlign w:val="center"/>
          </w:tcPr>
          <w:p>
            <w:pPr>
              <w:jc w:val="center"/>
              <w:rPr>
                <w:rFonts w:ascii="宋体" w:hAnsi="宋体" w:cs="宋体"/>
                <w:sz w:val="20"/>
                <w:szCs w:val="20"/>
              </w:rPr>
            </w:pPr>
          </w:p>
        </w:tc>
        <w:tc>
          <w:tcPr>
            <w:tcW w:w="1500" w:type="dxa"/>
            <w:vAlign w:val="center"/>
          </w:tcPr>
          <w:p>
            <w:pPr>
              <w:jc w:val="center"/>
              <w:rPr>
                <w:rFonts w:ascii="宋体" w:hAnsi="宋体" w:cs="宋体"/>
                <w:sz w:val="20"/>
                <w:szCs w:val="20"/>
              </w:rPr>
            </w:pPr>
            <w:r>
              <w:rPr>
                <w:rFonts w:ascii="宋体" w:hAnsi="宋体" w:cs="宋体"/>
                <w:sz w:val="20"/>
                <w:szCs w:val="20"/>
              </w:rPr>
              <w:t>产出时效</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sz w:val="20"/>
                <w:szCs w:val="20"/>
              </w:rPr>
              <w:t>5</w:t>
            </w:r>
          </w:p>
        </w:tc>
        <w:tc>
          <w:tcPr>
            <w:tcW w:w="3150" w:type="dxa"/>
            <w:vAlign w:val="center"/>
          </w:tcPr>
          <w:p>
            <w:pPr>
              <w:widowControl/>
              <w:spacing w:line="320" w:lineRule="exact"/>
              <w:jc w:val="left"/>
              <w:rPr>
                <w:rFonts w:ascii="宋体" w:hAnsi="宋体" w:cs="宋体"/>
                <w:color w:val="000000"/>
                <w:kern w:val="0"/>
                <w:sz w:val="20"/>
                <w:szCs w:val="20"/>
              </w:rPr>
            </w:pPr>
            <w:r>
              <w:rPr>
                <w:rFonts w:hint="eastAsia" w:ascii="宋体" w:hAnsi="宋体" w:cs="宋体"/>
                <w:color w:val="000000"/>
                <w:kern w:val="0"/>
                <w:sz w:val="20"/>
                <w:szCs w:val="20"/>
              </w:rPr>
              <w:t>完成及时性</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vAlign w:val="center"/>
          </w:tcPr>
          <w:p>
            <w:pPr>
              <w:jc w:val="center"/>
              <w:rPr>
                <w:rFonts w:ascii="宋体" w:hAnsi="宋体" w:cs="宋体"/>
                <w:sz w:val="20"/>
                <w:szCs w:val="20"/>
              </w:rPr>
            </w:pPr>
          </w:p>
        </w:tc>
        <w:tc>
          <w:tcPr>
            <w:tcW w:w="660" w:type="dxa"/>
            <w:vMerge w:val="continue"/>
            <w:vAlign w:val="center"/>
          </w:tcPr>
          <w:p>
            <w:pPr>
              <w:jc w:val="center"/>
              <w:rPr>
                <w:rFonts w:ascii="宋体" w:hAnsi="宋体" w:cs="宋体"/>
                <w:sz w:val="20"/>
                <w:szCs w:val="20"/>
              </w:rPr>
            </w:pPr>
          </w:p>
        </w:tc>
        <w:tc>
          <w:tcPr>
            <w:tcW w:w="1500" w:type="dxa"/>
            <w:vAlign w:val="center"/>
          </w:tcPr>
          <w:p>
            <w:pPr>
              <w:jc w:val="center"/>
              <w:rPr>
                <w:rFonts w:ascii="宋体" w:hAnsi="宋体" w:cs="宋体"/>
                <w:sz w:val="20"/>
                <w:szCs w:val="20"/>
              </w:rPr>
            </w:pPr>
            <w:r>
              <w:rPr>
                <w:rFonts w:ascii="宋体" w:hAnsi="宋体" w:cs="宋体"/>
                <w:sz w:val="20"/>
                <w:szCs w:val="20"/>
              </w:rPr>
              <w:t>产出成本</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sz w:val="20"/>
                <w:szCs w:val="20"/>
              </w:rPr>
              <w:t>5</w:t>
            </w:r>
          </w:p>
        </w:tc>
        <w:tc>
          <w:tcPr>
            <w:tcW w:w="3150" w:type="dxa"/>
            <w:vAlign w:val="center"/>
          </w:tcPr>
          <w:p>
            <w:pPr>
              <w:widowControl/>
              <w:spacing w:line="320" w:lineRule="exact"/>
              <w:jc w:val="left"/>
              <w:rPr>
                <w:rFonts w:ascii="宋体" w:hAnsi="宋体" w:cs="宋体"/>
                <w:color w:val="000000"/>
                <w:kern w:val="0"/>
                <w:sz w:val="20"/>
                <w:szCs w:val="20"/>
              </w:rPr>
            </w:pPr>
            <w:r>
              <w:rPr>
                <w:rFonts w:hint="eastAsia" w:ascii="宋体" w:hAnsi="宋体" w:cs="宋体"/>
                <w:color w:val="000000"/>
                <w:kern w:val="0"/>
                <w:sz w:val="20"/>
                <w:szCs w:val="20"/>
              </w:rPr>
              <w:t>成本节约率</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restart"/>
            <w:vAlign w:val="center"/>
          </w:tcPr>
          <w:p>
            <w:pPr>
              <w:jc w:val="center"/>
              <w:rPr>
                <w:rFonts w:ascii="宋体" w:hAnsi="宋体" w:cs="宋体"/>
                <w:b/>
                <w:bCs/>
                <w:sz w:val="20"/>
                <w:szCs w:val="20"/>
              </w:rPr>
            </w:pPr>
            <w:r>
              <w:rPr>
                <w:rFonts w:hint="eastAsia" w:ascii="宋体" w:hAnsi="宋体" w:cs="宋体"/>
                <w:sz w:val="20"/>
                <w:szCs w:val="20"/>
              </w:rPr>
              <w:t>效益</w:t>
            </w:r>
          </w:p>
        </w:tc>
        <w:tc>
          <w:tcPr>
            <w:tcW w:w="660" w:type="dxa"/>
            <w:vMerge w:val="restart"/>
            <w:vAlign w:val="center"/>
          </w:tcPr>
          <w:p>
            <w:pPr>
              <w:jc w:val="center"/>
              <w:rPr>
                <w:rFonts w:ascii="宋体" w:hAnsi="宋体" w:cs="宋体"/>
                <w:sz w:val="20"/>
                <w:szCs w:val="20"/>
              </w:rPr>
            </w:pPr>
            <w:r>
              <w:rPr>
                <w:rFonts w:hint="eastAsia" w:ascii="宋体" w:hAnsi="宋体" w:cs="宋体"/>
                <w:sz w:val="20"/>
                <w:szCs w:val="20"/>
              </w:rPr>
              <w:t>26</w:t>
            </w:r>
          </w:p>
        </w:tc>
        <w:tc>
          <w:tcPr>
            <w:tcW w:w="1500" w:type="dxa"/>
            <w:vMerge w:val="restart"/>
            <w:vAlign w:val="center"/>
          </w:tcPr>
          <w:p>
            <w:pPr>
              <w:jc w:val="center"/>
              <w:rPr>
                <w:rFonts w:ascii="宋体" w:hAnsi="宋体" w:cs="宋体"/>
                <w:sz w:val="20"/>
                <w:szCs w:val="20"/>
              </w:rPr>
            </w:pPr>
            <w:r>
              <w:rPr>
                <w:rFonts w:hint="eastAsia" w:ascii="宋体" w:hAnsi="宋体" w:cs="宋体"/>
                <w:sz w:val="20"/>
                <w:szCs w:val="20"/>
              </w:rPr>
              <w:t>生态效益</w:t>
            </w:r>
          </w:p>
        </w:tc>
        <w:tc>
          <w:tcPr>
            <w:tcW w:w="690" w:type="dxa"/>
            <w:vMerge w:val="restart"/>
            <w:vAlign w:val="center"/>
          </w:tcPr>
          <w:p>
            <w:pPr>
              <w:widowControl/>
              <w:jc w:val="center"/>
              <w:textAlignment w:val="center"/>
              <w:rPr>
                <w:rFonts w:ascii="宋体" w:hAnsi="宋体" w:cs="宋体"/>
                <w:sz w:val="20"/>
                <w:szCs w:val="20"/>
              </w:rPr>
            </w:pPr>
            <w:r>
              <w:rPr>
                <w:rFonts w:hint="eastAsia" w:ascii="宋体" w:hAnsi="宋体" w:cs="宋体"/>
                <w:sz w:val="20"/>
                <w:szCs w:val="20"/>
              </w:rPr>
              <w:t>10</w:t>
            </w:r>
          </w:p>
        </w:tc>
        <w:tc>
          <w:tcPr>
            <w:tcW w:w="3150" w:type="dxa"/>
            <w:vAlign w:val="center"/>
          </w:tcPr>
          <w:p>
            <w:pPr>
              <w:jc w:val="left"/>
              <w:rPr>
                <w:rFonts w:ascii="宋体" w:hAnsi="宋体" w:cs="宋体"/>
                <w:sz w:val="20"/>
                <w:szCs w:val="20"/>
              </w:rPr>
            </w:pPr>
            <w:r>
              <w:rPr>
                <w:rFonts w:hint="eastAsia" w:ascii="宋体" w:hAnsi="宋体" w:cs="宋体"/>
                <w:sz w:val="20"/>
                <w:szCs w:val="20"/>
              </w:rPr>
              <w:t>森林覆盖率</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vAlign w:val="center"/>
          </w:tcPr>
          <w:p>
            <w:pPr>
              <w:jc w:val="center"/>
              <w:rPr>
                <w:rFonts w:ascii="宋体" w:hAnsi="宋体" w:cs="宋体"/>
                <w:b/>
                <w:bCs/>
                <w:sz w:val="20"/>
                <w:szCs w:val="20"/>
              </w:rPr>
            </w:pPr>
          </w:p>
        </w:tc>
        <w:tc>
          <w:tcPr>
            <w:tcW w:w="660" w:type="dxa"/>
            <w:vMerge w:val="continue"/>
            <w:vAlign w:val="center"/>
          </w:tcPr>
          <w:p>
            <w:pPr>
              <w:jc w:val="center"/>
              <w:rPr>
                <w:rFonts w:ascii="宋体" w:hAnsi="宋体" w:cs="宋体"/>
                <w:sz w:val="20"/>
                <w:szCs w:val="20"/>
              </w:rPr>
            </w:pPr>
          </w:p>
        </w:tc>
        <w:tc>
          <w:tcPr>
            <w:tcW w:w="1500" w:type="dxa"/>
            <w:vMerge w:val="continue"/>
            <w:vAlign w:val="center"/>
          </w:tcPr>
          <w:p>
            <w:pPr>
              <w:jc w:val="center"/>
              <w:rPr>
                <w:rFonts w:ascii="宋体" w:hAnsi="宋体" w:cs="宋体"/>
                <w:sz w:val="20"/>
                <w:szCs w:val="20"/>
              </w:rPr>
            </w:pPr>
          </w:p>
        </w:tc>
        <w:tc>
          <w:tcPr>
            <w:tcW w:w="690" w:type="dxa"/>
            <w:vMerge w:val="continue"/>
            <w:vAlign w:val="center"/>
          </w:tcPr>
          <w:p>
            <w:pPr>
              <w:widowControl/>
              <w:jc w:val="center"/>
              <w:textAlignment w:val="center"/>
              <w:rPr>
                <w:rFonts w:ascii="宋体" w:hAnsi="宋体" w:cs="宋体"/>
                <w:sz w:val="20"/>
                <w:szCs w:val="20"/>
              </w:rPr>
            </w:pPr>
          </w:p>
        </w:tc>
        <w:tc>
          <w:tcPr>
            <w:tcW w:w="3150" w:type="dxa"/>
            <w:vAlign w:val="center"/>
          </w:tcPr>
          <w:p>
            <w:pPr>
              <w:jc w:val="left"/>
              <w:rPr>
                <w:rFonts w:ascii="宋体" w:hAnsi="宋体" w:cs="宋体"/>
                <w:sz w:val="20"/>
                <w:szCs w:val="20"/>
              </w:rPr>
            </w:pPr>
            <w:r>
              <w:rPr>
                <w:rFonts w:ascii="宋体" w:hAnsi="宋体" w:cs="宋体"/>
                <w:sz w:val="20"/>
                <w:szCs w:val="20"/>
              </w:rPr>
              <w:t>改善气候</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vAlign w:val="center"/>
          </w:tcPr>
          <w:p>
            <w:pPr>
              <w:jc w:val="center"/>
              <w:rPr>
                <w:rFonts w:ascii="宋体" w:hAnsi="宋体" w:cs="宋体"/>
                <w:b/>
                <w:bCs/>
                <w:sz w:val="20"/>
                <w:szCs w:val="20"/>
              </w:rPr>
            </w:pPr>
          </w:p>
        </w:tc>
        <w:tc>
          <w:tcPr>
            <w:tcW w:w="660" w:type="dxa"/>
            <w:vMerge w:val="continue"/>
            <w:vAlign w:val="center"/>
          </w:tcPr>
          <w:p>
            <w:pPr>
              <w:jc w:val="center"/>
              <w:rPr>
                <w:rFonts w:ascii="宋体" w:hAnsi="宋体" w:cs="宋体"/>
                <w:sz w:val="20"/>
                <w:szCs w:val="20"/>
              </w:rPr>
            </w:pPr>
          </w:p>
        </w:tc>
        <w:tc>
          <w:tcPr>
            <w:tcW w:w="1500" w:type="dxa"/>
            <w:vMerge w:val="continue"/>
            <w:vAlign w:val="center"/>
          </w:tcPr>
          <w:p>
            <w:pPr>
              <w:jc w:val="center"/>
              <w:rPr>
                <w:rFonts w:ascii="宋体" w:hAnsi="宋体" w:cs="宋体"/>
                <w:sz w:val="20"/>
                <w:szCs w:val="20"/>
              </w:rPr>
            </w:pPr>
          </w:p>
        </w:tc>
        <w:tc>
          <w:tcPr>
            <w:tcW w:w="690" w:type="dxa"/>
            <w:vMerge w:val="continue"/>
            <w:vAlign w:val="center"/>
          </w:tcPr>
          <w:p>
            <w:pPr>
              <w:widowControl/>
              <w:jc w:val="center"/>
              <w:textAlignment w:val="center"/>
              <w:rPr>
                <w:rFonts w:ascii="宋体" w:hAnsi="宋体" w:cs="宋体"/>
                <w:sz w:val="20"/>
                <w:szCs w:val="20"/>
              </w:rPr>
            </w:pPr>
          </w:p>
        </w:tc>
        <w:tc>
          <w:tcPr>
            <w:tcW w:w="3150" w:type="dxa"/>
            <w:vAlign w:val="center"/>
          </w:tcPr>
          <w:p>
            <w:pPr>
              <w:jc w:val="left"/>
              <w:rPr>
                <w:rFonts w:ascii="宋体" w:hAnsi="宋体" w:cs="宋体"/>
                <w:sz w:val="20"/>
                <w:szCs w:val="20"/>
              </w:rPr>
            </w:pPr>
            <w:r>
              <w:rPr>
                <w:rFonts w:ascii="宋体" w:hAnsi="宋体" w:cs="宋体"/>
                <w:sz w:val="20"/>
                <w:szCs w:val="20"/>
              </w:rPr>
              <w:t>净化空气</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vAlign w:val="center"/>
          </w:tcPr>
          <w:p>
            <w:pPr>
              <w:jc w:val="center"/>
              <w:rPr>
                <w:rFonts w:ascii="宋体" w:hAnsi="宋体" w:cs="宋体"/>
                <w:b/>
                <w:bCs/>
                <w:sz w:val="20"/>
                <w:szCs w:val="20"/>
              </w:rPr>
            </w:pPr>
          </w:p>
        </w:tc>
        <w:tc>
          <w:tcPr>
            <w:tcW w:w="660" w:type="dxa"/>
            <w:vMerge w:val="continue"/>
            <w:vAlign w:val="center"/>
          </w:tcPr>
          <w:p>
            <w:pPr>
              <w:jc w:val="center"/>
              <w:rPr>
                <w:rFonts w:ascii="宋体" w:hAnsi="宋体" w:cs="宋体"/>
                <w:sz w:val="20"/>
                <w:szCs w:val="20"/>
              </w:rPr>
            </w:pPr>
          </w:p>
        </w:tc>
        <w:tc>
          <w:tcPr>
            <w:tcW w:w="1500" w:type="dxa"/>
            <w:vMerge w:val="continue"/>
            <w:vAlign w:val="center"/>
          </w:tcPr>
          <w:p>
            <w:pPr>
              <w:jc w:val="center"/>
              <w:rPr>
                <w:rFonts w:ascii="宋体" w:hAnsi="宋体" w:cs="宋体"/>
                <w:sz w:val="20"/>
                <w:szCs w:val="20"/>
              </w:rPr>
            </w:pPr>
          </w:p>
        </w:tc>
        <w:tc>
          <w:tcPr>
            <w:tcW w:w="690" w:type="dxa"/>
            <w:vMerge w:val="continue"/>
            <w:vAlign w:val="center"/>
          </w:tcPr>
          <w:p>
            <w:pPr>
              <w:widowControl/>
              <w:jc w:val="center"/>
              <w:textAlignment w:val="center"/>
              <w:rPr>
                <w:rFonts w:ascii="宋体" w:hAnsi="宋体" w:cs="宋体"/>
                <w:sz w:val="20"/>
                <w:szCs w:val="20"/>
              </w:rPr>
            </w:pPr>
          </w:p>
        </w:tc>
        <w:tc>
          <w:tcPr>
            <w:tcW w:w="3150" w:type="dxa"/>
            <w:vAlign w:val="center"/>
          </w:tcPr>
          <w:p>
            <w:pPr>
              <w:jc w:val="left"/>
              <w:rPr>
                <w:rFonts w:ascii="宋体" w:hAnsi="宋体" w:cs="宋体"/>
                <w:sz w:val="20"/>
                <w:szCs w:val="20"/>
              </w:rPr>
            </w:pPr>
            <w:r>
              <w:rPr>
                <w:rFonts w:hint="eastAsia" w:ascii="宋体" w:hAnsi="宋体" w:cs="宋体"/>
                <w:sz w:val="20"/>
                <w:szCs w:val="20"/>
              </w:rPr>
              <w:t>降低噪声</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vAlign w:val="center"/>
          </w:tcPr>
          <w:p>
            <w:pPr>
              <w:jc w:val="center"/>
              <w:rPr>
                <w:rFonts w:ascii="宋体" w:hAnsi="宋体" w:cs="宋体"/>
                <w:b/>
                <w:bCs/>
                <w:sz w:val="20"/>
                <w:szCs w:val="20"/>
              </w:rPr>
            </w:pPr>
          </w:p>
        </w:tc>
        <w:tc>
          <w:tcPr>
            <w:tcW w:w="660" w:type="dxa"/>
            <w:vMerge w:val="continue"/>
            <w:vAlign w:val="center"/>
          </w:tcPr>
          <w:p>
            <w:pPr>
              <w:jc w:val="center"/>
              <w:rPr>
                <w:rFonts w:ascii="宋体" w:hAnsi="宋体" w:cs="宋体"/>
                <w:sz w:val="20"/>
                <w:szCs w:val="20"/>
              </w:rPr>
            </w:pPr>
          </w:p>
        </w:tc>
        <w:tc>
          <w:tcPr>
            <w:tcW w:w="1500" w:type="dxa"/>
            <w:vMerge w:val="continue"/>
            <w:vAlign w:val="center"/>
          </w:tcPr>
          <w:p>
            <w:pPr>
              <w:jc w:val="center"/>
              <w:rPr>
                <w:rFonts w:ascii="宋体" w:hAnsi="宋体" w:cs="宋体"/>
                <w:sz w:val="20"/>
                <w:szCs w:val="20"/>
              </w:rPr>
            </w:pPr>
          </w:p>
        </w:tc>
        <w:tc>
          <w:tcPr>
            <w:tcW w:w="690" w:type="dxa"/>
            <w:vMerge w:val="continue"/>
            <w:vAlign w:val="center"/>
          </w:tcPr>
          <w:p>
            <w:pPr>
              <w:widowControl/>
              <w:jc w:val="center"/>
              <w:textAlignment w:val="center"/>
              <w:rPr>
                <w:rFonts w:ascii="宋体" w:hAnsi="宋体" w:cs="宋体"/>
                <w:sz w:val="20"/>
                <w:szCs w:val="20"/>
              </w:rPr>
            </w:pPr>
          </w:p>
        </w:tc>
        <w:tc>
          <w:tcPr>
            <w:tcW w:w="3150" w:type="dxa"/>
            <w:vAlign w:val="center"/>
          </w:tcPr>
          <w:p>
            <w:pPr>
              <w:jc w:val="left"/>
              <w:rPr>
                <w:rFonts w:ascii="宋体" w:hAnsi="宋体" w:cs="宋体"/>
                <w:sz w:val="20"/>
                <w:szCs w:val="20"/>
              </w:rPr>
            </w:pPr>
            <w:r>
              <w:rPr>
                <w:rFonts w:hint="eastAsia" w:ascii="宋体" w:hAnsi="宋体" w:cs="宋体"/>
                <w:sz w:val="20"/>
                <w:szCs w:val="20"/>
              </w:rPr>
              <w:t>抵御风沙</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vAlign w:val="center"/>
          </w:tcPr>
          <w:p>
            <w:pPr>
              <w:jc w:val="center"/>
              <w:rPr>
                <w:rFonts w:ascii="宋体" w:hAnsi="宋体" w:cs="宋体"/>
                <w:b/>
                <w:bCs/>
                <w:sz w:val="20"/>
                <w:szCs w:val="20"/>
              </w:rPr>
            </w:pPr>
          </w:p>
        </w:tc>
        <w:tc>
          <w:tcPr>
            <w:tcW w:w="660" w:type="dxa"/>
            <w:vMerge w:val="continue"/>
            <w:vAlign w:val="center"/>
          </w:tcPr>
          <w:p>
            <w:pPr>
              <w:jc w:val="center"/>
              <w:rPr>
                <w:rFonts w:ascii="宋体" w:hAnsi="宋体" w:cs="宋体"/>
                <w:sz w:val="20"/>
                <w:szCs w:val="20"/>
              </w:rPr>
            </w:pPr>
          </w:p>
        </w:tc>
        <w:tc>
          <w:tcPr>
            <w:tcW w:w="1500" w:type="dxa"/>
            <w:vAlign w:val="center"/>
          </w:tcPr>
          <w:p>
            <w:pPr>
              <w:jc w:val="center"/>
              <w:rPr>
                <w:rFonts w:ascii="宋体" w:hAnsi="宋体" w:cs="宋体"/>
                <w:sz w:val="20"/>
                <w:szCs w:val="20"/>
              </w:rPr>
            </w:pPr>
            <w:r>
              <w:rPr>
                <w:rFonts w:hint="eastAsia" w:ascii="宋体" w:hAnsi="宋体" w:cs="宋体"/>
                <w:sz w:val="20"/>
                <w:szCs w:val="20"/>
              </w:rPr>
              <w:t>满意度</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sz w:val="20"/>
                <w:szCs w:val="20"/>
              </w:rPr>
              <w:t>10</w:t>
            </w:r>
          </w:p>
        </w:tc>
        <w:tc>
          <w:tcPr>
            <w:tcW w:w="3150" w:type="dxa"/>
            <w:vAlign w:val="center"/>
          </w:tcPr>
          <w:p>
            <w:pPr>
              <w:jc w:val="left"/>
              <w:rPr>
                <w:rFonts w:ascii="宋体" w:hAnsi="宋体" w:cs="宋体"/>
                <w:sz w:val="20"/>
                <w:szCs w:val="20"/>
              </w:rPr>
            </w:pPr>
            <w:r>
              <w:rPr>
                <w:rFonts w:hint="eastAsia" w:ascii="宋体" w:hAnsi="宋体" w:cs="宋体"/>
                <w:sz w:val="20"/>
                <w:szCs w:val="20"/>
              </w:rPr>
              <w:t>服务对象满意度</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10</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Merge w:val="continue"/>
            <w:vAlign w:val="center"/>
          </w:tcPr>
          <w:p>
            <w:pPr>
              <w:jc w:val="center"/>
              <w:rPr>
                <w:rFonts w:ascii="宋体" w:hAnsi="宋体" w:cs="宋体"/>
                <w:b/>
                <w:bCs/>
                <w:sz w:val="20"/>
                <w:szCs w:val="20"/>
              </w:rPr>
            </w:pPr>
          </w:p>
        </w:tc>
        <w:tc>
          <w:tcPr>
            <w:tcW w:w="660" w:type="dxa"/>
            <w:vMerge w:val="continue"/>
            <w:vAlign w:val="center"/>
          </w:tcPr>
          <w:p>
            <w:pPr>
              <w:jc w:val="center"/>
              <w:rPr>
                <w:rFonts w:ascii="宋体" w:hAnsi="宋体" w:cs="宋体"/>
                <w:b/>
                <w:bCs/>
                <w:sz w:val="20"/>
                <w:szCs w:val="20"/>
              </w:rPr>
            </w:pPr>
          </w:p>
        </w:tc>
        <w:tc>
          <w:tcPr>
            <w:tcW w:w="1500" w:type="dxa"/>
            <w:vAlign w:val="center"/>
          </w:tcPr>
          <w:p>
            <w:pPr>
              <w:jc w:val="center"/>
              <w:rPr>
                <w:rFonts w:ascii="宋体" w:hAnsi="宋体" w:cs="宋体"/>
                <w:sz w:val="20"/>
                <w:szCs w:val="20"/>
              </w:rPr>
            </w:pPr>
            <w:r>
              <w:rPr>
                <w:rFonts w:ascii="宋体" w:hAnsi="宋体" w:cs="宋体"/>
                <w:sz w:val="20"/>
                <w:szCs w:val="20"/>
              </w:rPr>
              <w:t>可持续影响</w:t>
            </w:r>
          </w:p>
        </w:tc>
        <w:tc>
          <w:tcPr>
            <w:tcW w:w="690" w:type="dxa"/>
            <w:vAlign w:val="center"/>
          </w:tcPr>
          <w:p>
            <w:pPr>
              <w:widowControl/>
              <w:jc w:val="center"/>
              <w:textAlignment w:val="center"/>
              <w:rPr>
                <w:rFonts w:ascii="宋体" w:hAnsi="宋体" w:cs="宋体"/>
                <w:sz w:val="20"/>
                <w:szCs w:val="20"/>
              </w:rPr>
            </w:pPr>
            <w:r>
              <w:rPr>
                <w:rFonts w:hint="eastAsia" w:ascii="宋体" w:hAnsi="宋体" w:cs="宋体"/>
                <w:sz w:val="20"/>
                <w:szCs w:val="20"/>
              </w:rPr>
              <w:t>6</w:t>
            </w:r>
          </w:p>
        </w:tc>
        <w:tc>
          <w:tcPr>
            <w:tcW w:w="3150" w:type="dxa"/>
            <w:vAlign w:val="center"/>
          </w:tcPr>
          <w:p>
            <w:pPr>
              <w:jc w:val="left"/>
              <w:rPr>
                <w:rFonts w:ascii="宋体" w:hAnsi="宋体" w:cs="宋体"/>
                <w:sz w:val="20"/>
                <w:szCs w:val="20"/>
              </w:rPr>
            </w:pPr>
            <w:r>
              <w:rPr>
                <w:rFonts w:hint="eastAsia" w:ascii="宋体" w:hAnsi="宋体" w:cs="宋体"/>
                <w:sz w:val="20"/>
                <w:szCs w:val="20"/>
              </w:rPr>
              <w:t>长效管理情况</w:t>
            </w:r>
          </w:p>
        </w:tc>
        <w:tc>
          <w:tcPr>
            <w:tcW w:w="735"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6</w:t>
            </w:r>
          </w:p>
        </w:tc>
        <w:tc>
          <w:tcPr>
            <w:tcW w:w="742"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trPr>
        <w:tc>
          <w:tcPr>
            <w:tcW w:w="1045" w:type="dxa"/>
            <w:vAlign w:val="center"/>
          </w:tcPr>
          <w:p>
            <w:pPr>
              <w:jc w:val="center"/>
              <w:rPr>
                <w:rFonts w:ascii="宋体" w:hAnsi="宋体" w:cs="宋体"/>
                <w:b/>
                <w:bCs/>
                <w:sz w:val="20"/>
                <w:szCs w:val="20"/>
              </w:rPr>
            </w:pPr>
            <w:r>
              <w:rPr>
                <w:rFonts w:hint="eastAsia" w:ascii="宋体" w:hAnsi="宋体" w:cs="宋体"/>
                <w:b/>
                <w:bCs/>
                <w:sz w:val="20"/>
                <w:szCs w:val="20"/>
              </w:rPr>
              <w:t>总计</w:t>
            </w:r>
          </w:p>
        </w:tc>
        <w:tc>
          <w:tcPr>
            <w:tcW w:w="660" w:type="dxa"/>
            <w:vAlign w:val="center"/>
          </w:tcPr>
          <w:p>
            <w:pPr>
              <w:jc w:val="center"/>
              <w:rPr>
                <w:rFonts w:ascii="宋体" w:hAnsi="宋体" w:cs="宋体"/>
                <w:b/>
                <w:bCs/>
                <w:sz w:val="20"/>
                <w:szCs w:val="20"/>
              </w:rPr>
            </w:pPr>
            <w:r>
              <w:rPr>
                <w:rFonts w:hint="eastAsia" w:ascii="宋体" w:hAnsi="宋体" w:cs="宋体"/>
                <w:b/>
                <w:bCs/>
                <w:sz w:val="20"/>
                <w:szCs w:val="20"/>
              </w:rPr>
              <w:t>100</w:t>
            </w:r>
          </w:p>
        </w:tc>
        <w:tc>
          <w:tcPr>
            <w:tcW w:w="1500" w:type="dxa"/>
            <w:vAlign w:val="center"/>
          </w:tcPr>
          <w:p>
            <w:pPr>
              <w:jc w:val="center"/>
              <w:rPr>
                <w:rFonts w:ascii="宋体" w:hAnsi="宋体" w:cs="宋体"/>
                <w:b/>
                <w:bCs/>
                <w:sz w:val="20"/>
                <w:szCs w:val="20"/>
              </w:rPr>
            </w:pPr>
          </w:p>
        </w:tc>
        <w:tc>
          <w:tcPr>
            <w:tcW w:w="690" w:type="dxa"/>
            <w:vAlign w:val="center"/>
          </w:tcPr>
          <w:p>
            <w:pPr>
              <w:jc w:val="center"/>
              <w:rPr>
                <w:rFonts w:ascii="宋体" w:hAnsi="宋体" w:cs="宋体"/>
                <w:b/>
                <w:bCs/>
                <w:sz w:val="20"/>
                <w:szCs w:val="20"/>
              </w:rPr>
            </w:pPr>
            <w:r>
              <w:rPr>
                <w:rFonts w:hint="eastAsia" w:ascii="宋体" w:hAnsi="宋体" w:cs="宋体"/>
                <w:b/>
                <w:bCs/>
                <w:sz w:val="20"/>
                <w:szCs w:val="20"/>
              </w:rPr>
              <w:t>100</w:t>
            </w:r>
          </w:p>
        </w:tc>
        <w:tc>
          <w:tcPr>
            <w:tcW w:w="3150" w:type="dxa"/>
            <w:vAlign w:val="center"/>
          </w:tcPr>
          <w:p>
            <w:pPr>
              <w:jc w:val="left"/>
              <w:rPr>
                <w:rFonts w:ascii="宋体" w:hAnsi="宋体" w:cs="宋体"/>
                <w:sz w:val="20"/>
                <w:szCs w:val="20"/>
              </w:rPr>
            </w:pPr>
          </w:p>
        </w:tc>
        <w:tc>
          <w:tcPr>
            <w:tcW w:w="735" w:type="dxa"/>
            <w:vAlign w:val="center"/>
          </w:tcPr>
          <w:p>
            <w:pPr>
              <w:jc w:val="center"/>
              <w:rPr>
                <w:rFonts w:ascii="宋体" w:hAnsi="宋体" w:cs="宋体"/>
                <w:b/>
                <w:bCs/>
                <w:sz w:val="20"/>
                <w:szCs w:val="20"/>
              </w:rPr>
            </w:pPr>
            <w:r>
              <w:rPr>
                <w:rFonts w:hint="eastAsia" w:ascii="宋体" w:hAnsi="宋体" w:cs="宋体"/>
                <w:b/>
                <w:bCs/>
                <w:sz w:val="20"/>
                <w:szCs w:val="20"/>
              </w:rPr>
              <w:t>100</w:t>
            </w:r>
          </w:p>
        </w:tc>
        <w:tc>
          <w:tcPr>
            <w:tcW w:w="742" w:type="dxa"/>
            <w:vAlign w:val="center"/>
          </w:tcPr>
          <w:p>
            <w:pPr>
              <w:jc w:val="center"/>
              <w:rPr>
                <w:rFonts w:ascii="宋体" w:hAnsi="宋体" w:cs="宋体"/>
                <w:b/>
                <w:bCs/>
                <w:sz w:val="20"/>
                <w:szCs w:val="20"/>
              </w:rPr>
            </w:pPr>
            <w:r>
              <w:rPr>
                <w:rFonts w:hint="eastAsia" w:ascii="宋体" w:hAnsi="宋体" w:cs="宋体"/>
                <w:b/>
                <w:bCs/>
                <w:sz w:val="20"/>
                <w:szCs w:val="20"/>
              </w:rPr>
              <w:t>82</w:t>
            </w:r>
          </w:p>
        </w:tc>
      </w:tr>
    </w:tbl>
    <w:p>
      <w:pPr>
        <w:autoSpaceDE w:val="0"/>
        <w:autoSpaceDN w:val="0"/>
        <w:adjustRightInd w:val="0"/>
        <w:ind w:firstLine="900" w:firstLineChars="300"/>
        <w:jc w:val="left"/>
        <w:rPr>
          <w:rFonts w:ascii="??_GB2312" w:hAnsi="宋体"/>
          <w:sz w:val="30"/>
          <w:szCs w:val="30"/>
        </w:rPr>
        <w:sectPr>
          <w:headerReference r:id="rId8" w:type="default"/>
          <w:footerReference r:id="rId9" w:type="default"/>
          <w:pgSz w:w="11906" w:h="16838"/>
          <w:pgMar w:top="1440" w:right="1800" w:bottom="1440" w:left="1800" w:header="851" w:footer="992" w:gutter="0"/>
          <w:pgNumType w:start="1"/>
          <w:cols w:space="425" w:num="1"/>
          <w:docGrid w:type="lines" w:linePitch="312" w:charSpace="0"/>
        </w:sectPr>
      </w:pPr>
    </w:p>
    <w:p>
      <w:pPr>
        <w:jc w:val="left"/>
        <w:outlineLvl w:val="0"/>
        <w:rPr>
          <w:b/>
          <w:bCs/>
          <w:sz w:val="24"/>
          <w:highlight w:val="yellow"/>
        </w:rPr>
      </w:pPr>
      <w:bookmarkStart w:id="27" w:name="_Toc24633811"/>
      <w:r>
        <w:rPr>
          <w:rFonts w:hint="eastAsia"/>
          <w:b/>
          <w:bCs/>
          <w:sz w:val="24"/>
        </w:rPr>
        <w:t>附件2：                                南山生态修复荒滩绿化项目绩效评价指标体系</w:t>
      </w:r>
      <w:bookmarkEnd w:id="27"/>
    </w:p>
    <w:tbl>
      <w:tblPr>
        <w:tblStyle w:val="14"/>
        <w:tblW w:w="0" w:type="auto"/>
        <w:tblInd w:w="91" w:type="dxa"/>
        <w:tblLayout w:type="fixed"/>
        <w:tblCellMar>
          <w:top w:w="0" w:type="dxa"/>
          <w:left w:w="108" w:type="dxa"/>
          <w:bottom w:w="0" w:type="dxa"/>
          <w:right w:w="108" w:type="dxa"/>
        </w:tblCellMar>
      </w:tblPr>
      <w:tblGrid>
        <w:gridCol w:w="1010"/>
        <w:gridCol w:w="708"/>
        <w:gridCol w:w="1134"/>
        <w:gridCol w:w="709"/>
        <w:gridCol w:w="2126"/>
        <w:gridCol w:w="851"/>
        <w:gridCol w:w="6804"/>
        <w:gridCol w:w="741"/>
      </w:tblGrid>
      <w:tr>
        <w:tblPrEx>
          <w:tblCellMar>
            <w:top w:w="0" w:type="dxa"/>
            <w:left w:w="108" w:type="dxa"/>
            <w:bottom w:w="0" w:type="dxa"/>
            <w:right w:w="108" w:type="dxa"/>
          </w:tblCellMar>
        </w:tblPrEx>
        <w:trPr>
          <w:trHeight w:val="340" w:hRule="exact"/>
          <w:tblHeader/>
        </w:trPr>
        <w:tc>
          <w:tcPr>
            <w:tcW w:w="1010"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b/>
                <w:bCs/>
                <w:kern w:val="0"/>
                <w:sz w:val="18"/>
                <w:szCs w:val="18"/>
              </w:rPr>
            </w:pPr>
            <w:r>
              <w:rPr>
                <w:rFonts w:hint="eastAsia" w:asciiTheme="minorEastAsia" w:hAnsiTheme="minorEastAsia" w:eastAsiaTheme="minorEastAsia" w:cstheme="minorEastAsia"/>
                <w:b/>
                <w:bCs/>
                <w:kern w:val="0"/>
                <w:sz w:val="18"/>
                <w:szCs w:val="18"/>
              </w:rPr>
              <w:t>一级指标</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分值</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二级指标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分值</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三级指标</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分值</w:t>
            </w:r>
          </w:p>
        </w:tc>
        <w:tc>
          <w:tcPr>
            <w:tcW w:w="6804"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评价标准</w:t>
            </w:r>
          </w:p>
        </w:tc>
        <w:tc>
          <w:tcPr>
            <w:tcW w:w="741" w:type="dxa"/>
            <w:tcBorders>
              <w:top w:val="single" w:color="auto" w:sz="4" w:space="0"/>
              <w:left w:val="nil"/>
              <w:bottom w:val="single" w:color="auto" w:sz="4" w:space="0"/>
              <w:right w:val="single" w:color="auto" w:sz="4" w:space="0"/>
            </w:tcBorders>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得分</w:t>
            </w:r>
          </w:p>
        </w:tc>
      </w:tr>
      <w:tr>
        <w:tblPrEx>
          <w:tblCellMar>
            <w:top w:w="0" w:type="dxa"/>
            <w:left w:w="108" w:type="dxa"/>
            <w:bottom w:w="0" w:type="dxa"/>
            <w:right w:w="108" w:type="dxa"/>
          </w:tblCellMar>
        </w:tblPrEx>
        <w:trPr>
          <w:trHeight w:val="340" w:hRule="exact"/>
          <w:tblHeader/>
        </w:trPr>
        <w:tc>
          <w:tcPr>
            <w:tcW w:w="1010" w:type="dxa"/>
            <w:vMerge w:val="restart"/>
            <w:tcBorders>
              <w:top w:val="nil"/>
              <w:left w:val="single" w:color="auto" w:sz="4" w:space="0"/>
              <w:bottom w:val="single" w:color="000000" w:sz="4" w:space="0"/>
              <w:right w:val="single" w:color="auto"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报备</w:t>
            </w:r>
          </w:p>
        </w:tc>
        <w:tc>
          <w:tcPr>
            <w:tcW w:w="708" w:type="dxa"/>
            <w:vMerge w:val="restart"/>
            <w:tcBorders>
              <w:top w:val="nil"/>
              <w:left w:val="single" w:color="auto" w:sz="4" w:space="0"/>
              <w:bottom w:val="single" w:color="000000"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8</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目标申报</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ascii="Arial Narrow" w:hAnsi="Arial Narrow" w:cs="Arial Narrow" w:eastAsiaTheme="minorEastAsia"/>
                <w:kern w:val="0"/>
                <w:sz w:val="20"/>
                <w:szCs w:val="20"/>
              </w:rPr>
              <w:t>4</w:t>
            </w:r>
          </w:p>
        </w:tc>
        <w:tc>
          <w:tcPr>
            <w:tcW w:w="2126"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申报的及时性</w:t>
            </w:r>
          </w:p>
        </w:tc>
        <w:tc>
          <w:tcPr>
            <w:tcW w:w="851"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ascii="Arial Narrow" w:hAnsi="Arial Narrow" w:cs="Arial Narrow" w:eastAsiaTheme="minorEastAsia"/>
                <w:sz w:val="20"/>
                <w:szCs w:val="20"/>
              </w:rPr>
              <w:t>2</w:t>
            </w:r>
          </w:p>
        </w:tc>
        <w:tc>
          <w:tcPr>
            <w:tcW w:w="6804"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在要求的时间段内申报得2分。</w:t>
            </w:r>
          </w:p>
        </w:tc>
        <w:tc>
          <w:tcPr>
            <w:tcW w:w="74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2</w:t>
            </w:r>
          </w:p>
        </w:tc>
      </w:tr>
      <w:tr>
        <w:tblPrEx>
          <w:tblCellMar>
            <w:top w:w="0" w:type="dxa"/>
            <w:left w:w="108" w:type="dxa"/>
            <w:bottom w:w="0" w:type="dxa"/>
            <w:right w:w="108" w:type="dxa"/>
          </w:tblCellMar>
        </w:tblPrEx>
        <w:trPr>
          <w:trHeight w:val="340" w:hRule="exact"/>
          <w:tblHeader/>
        </w:trPr>
        <w:tc>
          <w:tcPr>
            <w:tcW w:w="101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2126"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申报的全面性</w:t>
            </w:r>
          </w:p>
        </w:tc>
        <w:tc>
          <w:tcPr>
            <w:tcW w:w="851"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ascii="Arial Narrow" w:hAnsi="Arial Narrow" w:cs="Arial Narrow" w:eastAsiaTheme="minorEastAsia"/>
                <w:sz w:val="20"/>
                <w:szCs w:val="20"/>
              </w:rPr>
              <w:t>2</w:t>
            </w:r>
          </w:p>
        </w:tc>
        <w:tc>
          <w:tcPr>
            <w:tcW w:w="6804"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申报资料齐全得2分，不齐全得1分，没有得0分。</w:t>
            </w:r>
          </w:p>
        </w:tc>
        <w:tc>
          <w:tcPr>
            <w:tcW w:w="74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2</w:t>
            </w:r>
          </w:p>
        </w:tc>
      </w:tr>
      <w:tr>
        <w:tblPrEx>
          <w:tblCellMar>
            <w:top w:w="0" w:type="dxa"/>
            <w:left w:w="108" w:type="dxa"/>
            <w:bottom w:w="0" w:type="dxa"/>
            <w:right w:w="108" w:type="dxa"/>
          </w:tblCellMar>
        </w:tblPrEx>
        <w:trPr>
          <w:trHeight w:val="340" w:hRule="exact"/>
          <w:tblHeader/>
        </w:trPr>
        <w:tc>
          <w:tcPr>
            <w:tcW w:w="101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项目监控</w:t>
            </w:r>
          </w:p>
        </w:tc>
        <w:tc>
          <w:tcPr>
            <w:tcW w:w="709"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2</w:t>
            </w:r>
          </w:p>
        </w:tc>
        <w:tc>
          <w:tcPr>
            <w:tcW w:w="2126"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制度健全性</w:t>
            </w:r>
          </w:p>
        </w:tc>
        <w:tc>
          <w:tcPr>
            <w:tcW w:w="851"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1</w:t>
            </w:r>
          </w:p>
        </w:tc>
        <w:tc>
          <w:tcPr>
            <w:tcW w:w="6804"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制度健全1分</w:t>
            </w:r>
          </w:p>
        </w:tc>
        <w:tc>
          <w:tcPr>
            <w:tcW w:w="74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0</w:t>
            </w:r>
          </w:p>
        </w:tc>
      </w:tr>
      <w:tr>
        <w:tblPrEx>
          <w:tblCellMar>
            <w:top w:w="0" w:type="dxa"/>
            <w:left w:w="108" w:type="dxa"/>
            <w:bottom w:w="0" w:type="dxa"/>
            <w:right w:w="108" w:type="dxa"/>
          </w:tblCellMar>
        </w:tblPrEx>
        <w:trPr>
          <w:trHeight w:val="340" w:hRule="exact"/>
          <w:tblHeader/>
        </w:trPr>
        <w:tc>
          <w:tcPr>
            <w:tcW w:w="101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p>
        </w:tc>
        <w:tc>
          <w:tcPr>
            <w:tcW w:w="709"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p>
        </w:tc>
        <w:tc>
          <w:tcPr>
            <w:tcW w:w="2126"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制度可控性</w:t>
            </w:r>
          </w:p>
        </w:tc>
        <w:tc>
          <w:tcPr>
            <w:tcW w:w="851"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1</w:t>
            </w:r>
          </w:p>
        </w:tc>
        <w:tc>
          <w:tcPr>
            <w:tcW w:w="6804"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制度可控1分</w:t>
            </w:r>
          </w:p>
        </w:tc>
        <w:tc>
          <w:tcPr>
            <w:tcW w:w="74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0</w:t>
            </w:r>
          </w:p>
        </w:tc>
      </w:tr>
      <w:tr>
        <w:tblPrEx>
          <w:tblCellMar>
            <w:top w:w="0" w:type="dxa"/>
            <w:left w:w="108" w:type="dxa"/>
            <w:bottom w:w="0" w:type="dxa"/>
            <w:right w:w="108" w:type="dxa"/>
          </w:tblCellMar>
        </w:tblPrEx>
        <w:trPr>
          <w:trHeight w:val="340" w:hRule="exact"/>
          <w:tblHeader/>
        </w:trPr>
        <w:tc>
          <w:tcPr>
            <w:tcW w:w="101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项目自评</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2</w:t>
            </w:r>
          </w:p>
        </w:tc>
        <w:tc>
          <w:tcPr>
            <w:tcW w:w="2126"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是否有自评报告</w:t>
            </w:r>
          </w:p>
        </w:tc>
        <w:tc>
          <w:tcPr>
            <w:tcW w:w="851"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1</w:t>
            </w:r>
          </w:p>
        </w:tc>
        <w:tc>
          <w:tcPr>
            <w:tcW w:w="6804"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提供了自评报告得1分。</w:t>
            </w:r>
          </w:p>
        </w:tc>
        <w:tc>
          <w:tcPr>
            <w:tcW w:w="74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1</w:t>
            </w:r>
          </w:p>
        </w:tc>
      </w:tr>
      <w:tr>
        <w:tblPrEx>
          <w:tblCellMar>
            <w:top w:w="0" w:type="dxa"/>
            <w:left w:w="108" w:type="dxa"/>
            <w:bottom w:w="0" w:type="dxa"/>
            <w:right w:w="108" w:type="dxa"/>
          </w:tblCellMar>
        </w:tblPrEx>
        <w:trPr>
          <w:trHeight w:val="630" w:hRule="exact"/>
          <w:tblHeader/>
        </w:trPr>
        <w:tc>
          <w:tcPr>
            <w:tcW w:w="101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Arial Narrow" w:hAnsi="Arial Narrow" w:cs="Arial Narrow" w:eastAsiaTheme="minorEastAsia"/>
                <w:kern w:val="0"/>
                <w:sz w:val="20"/>
                <w:szCs w:val="20"/>
              </w:rPr>
            </w:pPr>
          </w:p>
        </w:tc>
        <w:tc>
          <w:tcPr>
            <w:tcW w:w="2126" w:type="dxa"/>
            <w:tcBorders>
              <w:top w:val="nil"/>
              <w:left w:val="nil"/>
              <w:bottom w:val="single" w:color="auto" w:sz="4" w:space="0"/>
              <w:right w:val="single" w:color="auto" w:sz="4" w:space="0"/>
            </w:tcBorders>
          </w:tcPr>
          <w:p>
            <w:pPr>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自评报告的客观性、</w:t>
            </w:r>
          </w:p>
          <w:p>
            <w:pPr>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完整性、真实性</w:t>
            </w:r>
          </w:p>
        </w:tc>
        <w:tc>
          <w:tcPr>
            <w:tcW w:w="851"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1</w:t>
            </w:r>
          </w:p>
        </w:tc>
        <w:tc>
          <w:tcPr>
            <w:tcW w:w="6804"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自评报告客观、完整、真实得1分。</w:t>
            </w:r>
          </w:p>
        </w:tc>
        <w:tc>
          <w:tcPr>
            <w:tcW w:w="74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0</w:t>
            </w:r>
          </w:p>
        </w:tc>
      </w:tr>
      <w:tr>
        <w:tblPrEx>
          <w:tblCellMar>
            <w:top w:w="0" w:type="dxa"/>
            <w:left w:w="108" w:type="dxa"/>
            <w:bottom w:w="0" w:type="dxa"/>
            <w:right w:w="108" w:type="dxa"/>
          </w:tblCellMar>
        </w:tblPrEx>
        <w:trPr>
          <w:trHeight w:val="428" w:hRule="exact"/>
          <w:tblHeader/>
        </w:trPr>
        <w:tc>
          <w:tcPr>
            <w:tcW w:w="1010" w:type="dxa"/>
            <w:vMerge w:val="restart"/>
            <w:tcBorders>
              <w:top w:val="nil"/>
              <w:left w:val="single" w:color="auto" w:sz="4" w:space="0"/>
              <w:bottom w:val="single" w:color="auto" w:sz="4" w:space="0"/>
              <w:right w:val="single" w:color="auto"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决策</w:t>
            </w:r>
          </w:p>
        </w:tc>
        <w:tc>
          <w:tcPr>
            <w:tcW w:w="708" w:type="dxa"/>
            <w:vMerge w:val="restart"/>
            <w:tcBorders>
              <w:top w:val="nil"/>
              <w:left w:val="single" w:color="auto" w:sz="4" w:space="0"/>
              <w:bottom w:val="single" w:color="auto" w:sz="4" w:space="0"/>
              <w:right w:val="single" w:color="000000"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ascii="Arial Narrow" w:hAnsi="Arial Narrow" w:cs="Arial Narrow" w:eastAsiaTheme="minorEastAsia"/>
                <w:kern w:val="0"/>
                <w:sz w:val="20"/>
                <w:szCs w:val="20"/>
              </w:rPr>
              <w:t>16</w:t>
            </w:r>
          </w:p>
        </w:tc>
        <w:tc>
          <w:tcPr>
            <w:tcW w:w="1134" w:type="dxa"/>
            <w:vMerge w:val="restart"/>
            <w:tcBorders>
              <w:top w:val="single" w:color="auto" w:sz="4" w:space="0"/>
              <w:left w:val="single" w:color="000000" w:sz="4" w:space="0"/>
              <w:bottom w:val="single" w:color="auto" w:sz="4" w:space="0"/>
              <w:right w:val="single" w:color="000000"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项目立项</w:t>
            </w:r>
          </w:p>
        </w:tc>
        <w:tc>
          <w:tcPr>
            <w:tcW w:w="709" w:type="dxa"/>
            <w:vMerge w:val="restart"/>
            <w:tcBorders>
              <w:top w:val="single" w:color="auto" w:sz="4" w:space="0"/>
              <w:left w:val="single" w:color="000000" w:sz="4" w:space="0"/>
              <w:bottom w:val="single" w:color="auto" w:sz="4" w:space="0"/>
              <w:right w:val="single" w:color="000000"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ascii="Arial Narrow" w:hAnsi="Arial Narrow" w:cs="Arial Narrow" w:eastAsiaTheme="minorEastAsia"/>
                <w:kern w:val="0"/>
                <w:sz w:val="20"/>
                <w:szCs w:val="20"/>
              </w:rPr>
              <w:t>4</w:t>
            </w:r>
          </w:p>
        </w:tc>
        <w:tc>
          <w:tcPr>
            <w:tcW w:w="2126" w:type="dxa"/>
            <w:tcBorders>
              <w:top w:val="nil"/>
              <w:left w:val="single" w:color="000000" w:sz="4" w:space="0"/>
              <w:bottom w:val="single" w:color="auto" w:sz="4" w:space="0"/>
              <w:right w:val="single" w:color="auto" w:sz="4" w:space="0"/>
            </w:tcBorders>
            <w:vAlign w:val="center"/>
          </w:tcPr>
          <w:p>
            <w:pP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立项依据充分性</w:t>
            </w:r>
          </w:p>
        </w:tc>
        <w:tc>
          <w:tcPr>
            <w:tcW w:w="85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Arial Narrow" w:hAnsi="Arial Narrow" w:cs="Arial Narrow" w:eastAsiaTheme="minorEastAsia"/>
                <w:sz w:val="20"/>
                <w:szCs w:val="20"/>
              </w:rPr>
              <w:t>1</w:t>
            </w:r>
          </w:p>
        </w:tc>
        <w:tc>
          <w:tcPr>
            <w:tcW w:w="6804"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项目立项符合相关法律政策的要求，与部门职责范围相符得1分。</w:t>
            </w:r>
          </w:p>
          <w:p>
            <w:pPr>
              <w:jc w:val="center"/>
              <w:rPr>
                <w:rFonts w:asciiTheme="minorEastAsia" w:hAnsiTheme="minorEastAsia" w:eastAsiaTheme="minorEastAsia" w:cstheme="minorEastAsia"/>
                <w:sz w:val="20"/>
                <w:szCs w:val="20"/>
              </w:rPr>
            </w:pPr>
          </w:p>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②项目立项是否符合行业发展规划和政策要求；</w:t>
            </w:r>
          </w:p>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③项目立项是否与部门职责范围相符，属于部门履职所需；</w:t>
            </w:r>
          </w:p>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④项目是否属于公共财政支持范围，是否符合中央、地方事权支出责任划分原则；</w:t>
            </w:r>
          </w:p>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⑤项目是否与相关部门同类项目或部门内部相关项目重复。</w:t>
            </w:r>
          </w:p>
        </w:tc>
        <w:tc>
          <w:tcPr>
            <w:tcW w:w="74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1</w:t>
            </w:r>
          </w:p>
        </w:tc>
      </w:tr>
      <w:tr>
        <w:tblPrEx>
          <w:tblCellMar>
            <w:top w:w="0" w:type="dxa"/>
            <w:left w:w="108" w:type="dxa"/>
            <w:bottom w:w="0" w:type="dxa"/>
            <w:right w:w="108" w:type="dxa"/>
          </w:tblCellMar>
        </w:tblPrEx>
        <w:trPr>
          <w:trHeight w:val="650" w:hRule="exact"/>
          <w:tblHeader/>
        </w:trPr>
        <w:tc>
          <w:tcPr>
            <w:tcW w:w="1010"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nil"/>
              <w:left w:val="single" w:color="auto"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2126" w:type="dxa"/>
            <w:tcBorders>
              <w:top w:val="nil"/>
              <w:left w:val="single" w:color="000000" w:sz="4" w:space="0"/>
              <w:bottom w:val="single" w:color="auto" w:sz="4" w:space="0"/>
              <w:right w:val="single" w:color="auto" w:sz="4" w:space="0"/>
            </w:tcBorders>
            <w:vAlign w:val="center"/>
          </w:tcPr>
          <w:p>
            <w:pP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立项程序规范性</w:t>
            </w:r>
          </w:p>
        </w:tc>
        <w:tc>
          <w:tcPr>
            <w:tcW w:w="85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Arial Narrow" w:hAnsi="Arial Narrow" w:cs="Arial Narrow" w:eastAsiaTheme="minorEastAsia"/>
                <w:sz w:val="20"/>
                <w:szCs w:val="20"/>
              </w:rPr>
              <w:t>3</w:t>
            </w:r>
          </w:p>
        </w:tc>
        <w:tc>
          <w:tcPr>
            <w:tcW w:w="6804"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项目按照规定的程序申请设立，审批文件、材料符合相关要求，事前经过必要的可行性研究、专家论证、风险评估、绩效评估、集体决策得3分。</w:t>
            </w:r>
          </w:p>
        </w:tc>
        <w:tc>
          <w:tcPr>
            <w:tcW w:w="74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3</w:t>
            </w:r>
          </w:p>
        </w:tc>
      </w:tr>
      <w:tr>
        <w:tblPrEx>
          <w:tblCellMar>
            <w:top w:w="0" w:type="dxa"/>
            <w:left w:w="108" w:type="dxa"/>
            <w:bottom w:w="0" w:type="dxa"/>
            <w:right w:w="108" w:type="dxa"/>
          </w:tblCellMar>
        </w:tblPrEx>
        <w:trPr>
          <w:trHeight w:val="1285" w:hRule="exact"/>
          <w:tblHeader/>
        </w:trPr>
        <w:tc>
          <w:tcPr>
            <w:tcW w:w="1010"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nil"/>
              <w:left w:val="single" w:color="auto"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restart"/>
            <w:tcBorders>
              <w:top w:val="single" w:color="auto" w:sz="4" w:space="0"/>
              <w:left w:val="single" w:color="000000" w:sz="4" w:space="0"/>
              <w:bottom w:val="single" w:color="auto" w:sz="4" w:space="0"/>
              <w:right w:val="single" w:color="000000"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绩效目标</w:t>
            </w:r>
          </w:p>
        </w:tc>
        <w:tc>
          <w:tcPr>
            <w:tcW w:w="709" w:type="dxa"/>
            <w:vMerge w:val="restart"/>
            <w:tcBorders>
              <w:top w:val="single" w:color="auto" w:sz="4" w:space="0"/>
              <w:left w:val="single" w:color="000000" w:sz="4" w:space="0"/>
              <w:bottom w:val="single" w:color="auto" w:sz="4" w:space="0"/>
              <w:right w:val="single" w:color="000000"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ascii="Arial Narrow" w:hAnsi="Arial Narrow" w:cs="Arial Narrow" w:eastAsiaTheme="minorEastAsia"/>
                <w:kern w:val="0"/>
                <w:sz w:val="20"/>
                <w:szCs w:val="20"/>
              </w:rPr>
              <w:t>7</w:t>
            </w:r>
          </w:p>
        </w:tc>
        <w:tc>
          <w:tcPr>
            <w:tcW w:w="2126" w:type="dxa"/>
            <w:tcBorders>
              <w:top w:val="nil"/>
              <w:left w:val="single" w:color="000000" w:sz="4" w:space="0"/>
              <w:bottom w:val="single" w:color="auto" w:sz="4" w:space="0"/>
              <w:right w:val="single" w:color="auto" w:sz="4" w:space="0"/>
            </w:tcBorders>
            <w:vAlign w:val="center"/>
          </w:tcPr>
          <w:p>
            <w:pP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绩效目标合理性</w:t>
            </w:r>
          </w:p>
        </w:tc>
        <w:tc>
          <w:tcPr>
            <w:tcW w:w="85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Arial Narrow" w:hAnsi="Arial Narrow" w:cs="Arial Narrow" w:eastAsiaTheme="minorEastAsia"/>
                <w:sz w:val="20"/>
                <w:szCs w:val="20"/>
              </w:rPr>
              <w:t>4</w:t>
            </w:r>
          </w:p>
        </w:tc>
        <w:tc>
          <w:tcPr>
            <w:tcW w:w="6804"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kern w:val="0"/>
                <w:sz w:val="18"/>
                <w:szCs w:val="18"/>
              </w:rPr>
              <w:t>①</w:t>
            </w:r>
            <w:r>
              <w:rPr>
                <w:rFonts w:hint="eastAsia" w:asciiTheme="minorEastAsia" w:hAnsiTheme="minorEastAsia" w:eastAsiaTheme="minorEastAsia" w:cstheme="minorEastAsia"/>
                <w:sz w:val="20"/>
                <w:szCs w:val="20"/>
              </w:rPr>
              <w:t>项目有绩效目标得1分；</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②项目绩效目标与实际工作内容具有相关性得1分；</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③项目预期产出效益和效果符合正常的业绩水平得1分；</w:t>
            </w:r>
          </w:p>
          <w:p>
            <w:pP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④预算确定的项目投资额或资金量相匹配得1分。</w:t>
            </w:r>
          </w:p>
        </w:tc>
        <w:tc>
          <w:tcPr>
            <w:tcW w:w="74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3</w:t>
            </w:r>
          </w:p>
        </w:tc>
      </w:tr>
      <w:tr>
        <w:tblPrEx>
          <w:tblCellMar>
            <w:top w:w="0" w:type="dxa"/>
            <w:left w:w="108" w:type="dxa"/>
            <w:bottom w:w="0" w:type="dxa"/>
            <w:right w:w="108" w:type="dxa"/>
          </w:tblCellMar>
        </w:tblPrEx>
        <w:trPr>
          <w:trHeight w:val="995" w:hRule="exact"/>
          <w:tblHeader/>
        </w:trPr>
        <w:tc>
          <w:tcPr>
            <w:tcW w:w="1010"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nil"/>
              <w:left w:val="single" w:color="auto"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2126" w:type="dxa"/>
            <w:tcBorders>
              <w:top w:val="nil"/>
              <w:left w:val="single" w:color="000000" w:sz="4" w:space="0"/>
              <w:bottom w:val="single" w:color="auto" w:sz="4" w:space="0"/>
              <w:right w:val="single" w:color="auto" w:sz="4" w:space="0"/>
            </w:tcBorders>
            <w:vAlign w:val="center"/>
          </w:tcPr>
          <w:p>
            <w:pP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绩效指标明确性</w:t>
            </w:r>
          </w:p>
        </w:tc>
        <w:tc>
          <w:tcPr>
            <w:tcW w:w="85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Arial Narrow" w:hAnsi="Arial Narrow" w:cs="Arial Narrow" w:eastAsiaTheme="minorEastAsia"/>
                <w:sz w:val="20"/>
                <w:szCs w:val="20"/>
              </w:rPr>
              <w:t>3</w:t>
            </w:r>
          </w:p>
        </w:tc>
        <w:tc>
          <w:tcPr>
            <w:tcW w:w="680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①项目绩效目标细化为具体的绩效指标得1分；</w:t>
            </w: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②项目绩效目标可衡量的得1分；</w:t>
            </w: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③项目目标任务数相对应得1分。</w:t>
            </w:r>
          </w:p>
        </w:tc>
        <w:tc>
          <w:tcPr>
            <w:tcW w:w="74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1</w:t>
            </w:r>
          </w:p>
        </w:tc>
      </w:tr>
      <w:tr>
        <w:tblPrEx>
          <w:tblCellMar>
            <w:top w:w="0" w:type="dxa"/>
            <w:left w:w="108" w:type="dxa"/>
            <w:bottom w:w="0" w:type="dxa"/>
            <w:right w:w="108" w:type="dxa"/>
          </w:tblCellMar>
        </w:tblPrEx>
        <w:trPr>
          <w:trHeight w:val="965" w:hRule="exact"/>
          <w:tblHeader/>
        </w:trPr>
        <w:tc>
          <w:tcPr>
            <w:tcW w:w="1010"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nil"/>
              <w:left w:val="single" w:color="auto"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restart"/>
            <w:tcBorders>
              <w:top w:val="single" w:color="auto" w:sz="4" w:space="0"/>
              <w:left w:val="single" w:color="000000" w:sz="4" w:space="0"/>
              <w:bottom w:val="single" w:color="auto" w:sz="4" w:space="0"/>
              <w:right w:val="single" w:color="000000"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资金投入</w:t>
            </w:r>
          </w:p>
        </w:tc>
        <w:tc>
          <w:tcPr>
            <w:tcW w:w="709" w:type="dxa"/>
            <w:vMerge w:val="restart"/>
            <w:tcBorders>
              <w:top w:val="single" w:color="auto" w:sz="4" w:space="0"/>
              <w:left w:val="single" w:color="000000" w:sz="4" w:space="0"/>
              <w:bottom w:val="single" w:color="auto" w:sz="4" w:space="0"/>
              <w:right w:val="single" w:color="000000"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ascii="Arial Narrow" w:hAnsi="Arial Narrow" w:cs="Arial Narrow" w:eastAsiaTheme="minorEastAsia"/>
                <w:kern w:val="0"/>
                <w:sz w:val="20"/>
                <w:szCs w:val="20"/>
              </w:rPr>
              <w:t>5</w:t>
            </w:r>
          </w:p>
        </w:tc>
        <w:tc>
          <w:tcPr>
            <w:tcW w:w="2126" w:type="dxa"/>
            <w:tcBorders>
              <w:top w:val="nil"/>
              <w:left w:val="single" w:color="000000" w:sz="4" w:space="0"/>
              <w:bottom w:val="single" w:color="auto" w:sz="4" w:space="0"/>
              <w:right w:val="single" w:color="auto" w:sz="4" w:space="0"/>
            </w:tcBorders>
            <w:vAlign w:val="center"/>
          </w:tcPr>
          <w:p>
            <w:pP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预算编制科学性</w:t>
            </w:r>
          </w:p>
        </w:tc>
        <w:tc>
          <w:tcPr>
            <w:tcW w:w="85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Arial Narrow" w:hAnsi="Arial Narrow" w:cs="Arial Narrow" w:eastAsiaTheme="minorEastAsia"/>
                <w:sz w:val="20"/>
                <w:szCs w:val="20"/>
              </w:rPr>
              <w:t>3</w:t>
            </w:r>
          </w:p>
        </w:tc>
        <w:tc>
          <w:tcPr>
            <w:tcW w:w="680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①预算内容与项目内容相匹配得1分；</w:t>
            </w: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②预算额度测算依据充分，按照标准编制得1分；</w:t>
            </w: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③预算项目资金量与工作任务相匹配得1分。</w:t>
            </w:r>
          </w:p>
          <w:p>
            <w:pPr>
              <w:widowControl/>
              <w:jc w:val="left"/>
              <w:rPr>
                <w:rFonts w:asciiTheme="minorEastAsia" w:hAnsiTheme="minorEastAsia" w:eastAsiaTheme="minorEastAsia" w:cstheme="minorEastAsia"/>
                <w:kern w:val="0"/>
                <w:sz w:val="20"/>
                <w:szCs w:val="20"/>
              </w:rPr>
            </w:pPr>
          </w:p>
        </w:tc>
        <w:tc>
          <w:tcPr>
            <w:tcW w:w="74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3</w:t>
            </w:r>
          </w:p>
        </w:tc>
      </w:tr>
      <w:tr>
        <w:tblPrEx>
          <w:tblCellMar>
            <w:top w:w="0" w:type="dxa"/>
            <w:left w:w="108" w:type="dxa"/>
            <w:bottom w:w="0" w:type="dxa"/>
            <w:right w:w="108" w:type="dxa"/>
          </w:tblCellMar>
        </w:tblPrEx>
        <w:trPr>
          <w:trHeight w:val="705" w:hRule="exact"/>
          <w:tblHeader/>
        </w:trPr>
        <w:tc>
          <w:tcPr>
            <w:tcW w:w="1010"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nil"/>
              <w:left w:val="single" w:color="auto"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2126" w:type="dxa"/>
            <w:tcBorders>
              <w:top w:val="nil"/>
              <w:left w:val="single" w:color="000000" w:sz="4" w:space="0"/>
              <w:bottom w:val="single" w:color="auto" w:sz="4" w:space="0"/>
              <w:right w:val="single" w:color="auto" w:sz="4" w:space="0"/>
            </w:tcBorders>
            <w:vAlign w:val="center"/>
          </w:tcPr>
          <w:p>
            <w:pP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资金分配合理性</w:t>
            </w:r>
          </w:p>
        </w:tc>
        <w:tc>
          <w:tcPr>
            <w:tcW w:w="85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Arial Narrow" w:hAnsi="Arial Narrow" w:cs="Arial Narrow" w:eastAsiaTheme="minorEastAsia"/>
                <w:sz w:val="20"/>
                <w:szCs w:val="20"/>
              </w:rPr>
              <w:t>2</w:t>
            </w:r>
          </w:p>
        </w:tc>
        <w:tc>
          <w:tcPr>
            <w:tcW w:w="6804"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①预算资金分配依据充分得1分；</w:t>
            </w:r>
          </w:p>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②资金分配额度合理，与实际项目相适应得1分。</w:t>
            </w:r>
          </w:p>
        </w:tc>
        <w:tc>
          <w:tcPr>
            <w:tcW w:w="74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2</w:t>
            </w:r>
          </w:p>
        </w:tc>
      </w:tr>
    </w:tbl>
    <w:p>
      <w:pPr>
        <w:jc w:val="left"/>
        <w:outlineLvl w:val="0"/>
        <w:rPr>
          <w:b/>
          <w:bCs/>
          <w:sz w:val="24"/>
          <w:highlight w:val="yellow"/>
        </w:rPr>
      </w:pPr>
    </w:p>
    <w:tbl>
      <w:tblPr>
        <w:tblStyle w:val="14"/>
        <w:tblW w:w="14425" w:type="dxa"/>
        <w:tblInd w:w="0" w:type="dxa"/>
        <w:tblLayout w:type="fixed"/>
        <w:tblCellMar>
          <w:top w:w="0" w:type="dxa"/>
          <w:left w:w="108" w:type="dxa"/>
          <w:bottom w:w="0" w:type="dxa"/>
          <w:right w:w="108" w:type="dxa"/>
        </w:tblCellMar>
      </w:tblPr>
      <w:tblGrid>
        <w:gridCol w:w="959"/>
        <w:gridCol w:w="709"/>
        <w:gridCol w:w="1134"/>
        <w:gridCol w:w="708"/>
        <w:gridCol w:w="2410"/>
        <w:gridCol w:w="709"/>
        <w:gridCol w:w="6975"/>
        <w:gridCol w:w="821"/>
      </w:tblGrid>
      <w:tr>
        <w:tblPrEx>
          <w:tblCellMar>
            <w:top w:w="0" w:type="dxa"/>
            <w:left w:w="108" w:type="dxa"/>
            <w:bottom w:w="0" w:type="dxa"/>
            <w:right w:w="108" w:type="dxa"/>
          </w:tblCellMar>
        </w:tblPrEx>
        <w:trPr>
          <w:trHeight w:val="340" w:hRule="exact"/>
          <w:tblHeader/>
        </w:trPr>
        <w:tc>
          <w:tcPr>
            <w:tcW w:w="9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18"/>
                <w:szCs w:val="18"/>
              </w:rPr>
              <w:t>一级指标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分值</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二级指标</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分值值</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三级指标</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分值</w:t>
            </w:r>
          </w:p>
        </w:tc>
        <w:tc>
          <w:tcPr>
            <w:tcW w:w="697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评价标准</w:t>
            </w:r>
          </w:p>
        </w:tc>
        <w:tc>
          <w:tcPr>
            <w:tcW w:w="821" w:type="dxa"/>
            <w:tcBorders>
              <w:top w:val="single" w:color="auto" w:sz="4" w:space="0"/>
              <w:left w:val="nil"/>
              <w:bottom w:val="single" w:color="auto" w:sz="4" w:space="0"/>
              <w:right w:val="single" w:color="auto" w:sz="4" w:space="0"/>
            </w:tcBorders>
          </w:tcPr>
          <w:p>
            <w:pPr>
              <w:widowControl/>
              <w:jc w:val="center"/>
              <w:rPr>
                <w:rFonts w:asciiTheme="minorEastAsia" w:hAnsiTheme="minorEastAsia" w:eastAsiaTheme="minorEastAsia" w:cstheme="minorEastAsia"/>
                <w:b/>
                <w:bCs/>
                <w:kern w:val="0"/>
                <w:sz w:val="20"/>
                <w:szCs w:val="20"/>
              </w:rPr>
            </w:pPr>
            <w:r>
              <w:rPr>
                <w:rFonts w:hint="eastAsia" w:asciiTheme="minorEastAsia" w:hAnsiTheme="minorEastAsia" w:eastAsiaTheme="minorEastAsia" w:cstheme="minorEastAsia"/>
                <w:b/>
                <w:bCs/>
                <w:kern w:val="0"/>
                <w:sz w:val="20"/>
                <w:szCs w:val="20"/>
              </w:rPr>
              <w:t>得分</w:t>
            </w:r>
          </w:p>
        </w:tc>
      </w:tr>
      <w:tr>
        <w:tblPrEx>
          <w:tblCellMar>
            <w:top w:w="0" w:type="dxa"/>
            <w:left w:w="108" w:type="dxa"/>
            <w:bottom w:w="0" w:type="dxa"/>
            <w:right w:w="108" w:type="dxa"/>
          </w:tblCellMar>
        </w:tblPrEx>
        <w:trPr>
          <w:trHeight w:val="340" w:hRule="exact"/>
        </w:trPr>
        <w:tc>
          <w:tcPr>
            <w:tcW w:w="959" w:type="dxa"/>
            <w:vMerge w:val="restart"/>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过程</w:t>
            </w:r>
          </w:p>
          <w:p>
            <w:pPr>
              <w:widowControl/>
              <w:jc w:val="center"/>
              <w:rPr>
                <w:rFonts w:asciiTheme="minorEastAsia" w:hAnsiTheme="minorEastAsia" w:eastAsiaTheme="minorEastAsia" w:cstheme="minorEastAsia"/>
                <w:kern w:val="0"/>
                <w:sz w:val="20"/>
                <w:szCs w:val="20"/>
                <w:highlight w:val="yellow"/>
              </w:rPr>
            </w:pPr>
          </w:p>
        </w:tc>
        <w:tc>
          <w:tcPr>
            <w:tcW w:w="709" w:type="dxa"/>
            <w:vMerge w:val="restart"/>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ascii="Arial Narrow" w:hAnsi="Arial Narrow" w:cs="Arial Narrow" w:eastAsiaTheme="minorEastAsia"/>
                <w:kern w:val="0"/>
                <w:sz w:val="20"/>
                <w:szCs w:val="20"/>
              </w:rPr>
              <w:t>15</w:t>
            </w:r>
          </w:p>
          <w:p>
            <w:pPr>
              <w:widowControl/>
              <w:jc w:val="center"/>
              <w:rPr>
                <w:rFonts w:asciiTheme="minorEastAsia" w:hAnsiTheme="minorEastAsia" w:eastAsiaTheme="minorEastAsia" w:cstheme="minorEastAsia"/>
                <w:kern w:val="0"/>
                <w:sz w:val="20"/>
                <w:szCs w:val="20"/>
                <w:highlight w:val="yellow"/>
              </w:rPr>
            </w:pP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highlight w:val="yellow"/>
              </w:rPr>
            </w:pPr>
            <w:r>
              <w:rPr>
                <w:rFonts w:hint="eastAsia" w:asciiTheme="minorEastAsia" w:hAnsiTheme="minorEastAsia" w:eastAsiaTheme="minorEastAsia" w:cstheme="minorEastAsia"/>
                <w:kern w:val="0"/>
                <w:sz w:val="20"/>
                <w:szCs w:val="20"/>
              </w:rPr>
              <w:t>资金管理</w:t>
            </w:r>
          </w:p>
        </w:tc>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highlight w:val="yellow"/>
              </w:rPr>
            </w:pPr>
            <w:r>
              <w:rPr>
                <w:rFonts w:ascii="Arial Narrow" w:hAnsi="Arial Narrow" w:cs="Arial Narrow" w:eastAsiaTheme="minorEastAsia"/>
                <w:kern w:val="0"/>
                <w:sz w:val="20"/>
                <w:szCs w:val="20"/>
              </w:rPr>
              <w:t>8</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财务管理制度健全性</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ascii="Arial Narrow" w:hAnsi="Arial Narrow" w:cs="Arial Narrow" w:eastAsiaTheme="minorEastAsia"/>
                <w:kern w:val="0"/>
                <w:sz w:val="20"/>
                <w:szCs w:val="20"/>
              </w:rPr>
              <w:t>2</w:t>
            </w:r>
          </w:p>
        </w:tc>
        <w:tc>
          <w:tcPr>
            <w:tcW w:w="69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r>
              <w:rPr>
                <w:rFonts w:hint="eastAsia" w:asciiTheme="minorEastAsia" w:hAnsiTheme="minorEastAsia" w:eastAsiaTheme="minorEastAsia" w:cstheme="minorEastAsia"/>
                <w:kern w:val="0"/>
                <w:sz w:val="20"/>
                <w:szCs w:val="20"/>
              </w:rPr>
              <w:t>已制定或具有相应的财务管理制度得1分；制度合法、合规、完整得1分。</w:t>
            </w:r>
          </w:p>
        </w:tc>
        <w:tc>
          <w:tcPr>
            <w:tcW w:w="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1</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2410" w:type="dxa"/>
            <w:tcBorders>
              <w:top w:val="single" w:color="000000" w:sz="4" w:space="0"/>
              <w:left w:val="nil"/>
              <w:bottom w:val="single" w:color="auto" w:sz="4" w:space="0"/>
              <w:right w:val="single" w:color="auto" w:sz="4" w:space="0"/>
            </w:tcBorders>
            <w:vAlign w:val="center"/>
          </w:tcPr>
          <w:p>
            <w:pPr>
              <w:autoSpaceDE w:val="0"/>
              <w:autoSpaceDN w:val="0"/>
              <w:adjustRightInd w:val="0"/>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资金到位率</w:t>
            </w:r>
          </w:p>
        </w:tc>
        <w:tc>
          <w:tcPr>
            <w:tcW w:w="709" w:type="dxa"/>
            <w:tcBorders>
              <w:top w:val="single" w:color="000000" w:sz="4" w:space="0"/>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ascii="Arial Narrow" w:hAnsi="Arial Narrow" w:cs="Arial Narrow" w:eastAsiaTheme="minorEastAsia"/>
                <w:kern w:val="0"/>
                <w:sz w:val="20"/>
                <w:szCs w:val="20"/>
              </w:rPr>
              <w:t>2</w:t>
            </w:r>
          </w:p>
        </w:tc>
        <w:tc>
          <w:tcPr>
            <w:tcW w:w="6975" w:type="dxa"/>
            <w:tcBorders>
              <w:top w:val="single" w:color="000000" w:sz="4" w:space="0"/>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highlight w:val="yellow"/>
              </w:rPr>
            </w:pPr>
            <w:r>
              <w:rPr>
                <w:rFonts w:hint="eastAsia" w:asciiTheme="minorEastAsia" w:hAnsiTheme="minorEastAsia" w:eastAsiaTheme="minorEastAsia" w:cstheme="minorEastAsia"/>
                <w:kern w:val="0"/>
                <w:sz w:val="20"/>
                <w:szCs w:val="20"/>
              </w:rPr>
              <w:t>资金到位100%得2分，若未全部到位但未影响项目进度得1分，否则不得分。</w:t>
            </w:r>
          </w:p>
        </w:tc>
        <w:tc>
          <w:tcPr>
            <w:tcW w:w="821" w:type="dxa"/>
            <w:tcBorders>
              <w:top w:val="single" w:color="000000" w:sz="4" w:space="0"/>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2</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2410" w:type="dxa"/>
            <w:tcBorders>
              <w:top w:val="single" w:color="000000" w:sz="4" w:space="0"/>
              <w:left w:val="nil"/>
              <w:bottom w:val="single" w:color="auto" w:sz="4" w:space="0"/>
              <w:right w:val="single" w:color="auto" w:sz="4" w:space="0"/>
            </w:tcBorders>
            <w:vAlign w:val="center"/>
          </w:tcPr>
          <w:p>
            <w:pPr>
              <w:autoSpaceDE w:val="0"/>
              <w:autoSpaceDN w:val="0"/>
              <w:adjustRightInd w:val="0"/>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预算执行率</w:t>
            </w:r>
          </w:p>
        </w:tc>
        <w:tc>
          <w:tcPr>
            <w:tcW w:w="709" w:type="dxa"/>
            <w:tcBorders>
              <w:top w:val="single" w:color="000000" w:sz="4" w:space="0"/>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ascii="Arial Narrow" w:hAnsi="Arial Narrow" w:cs="Arial Narrow" w:eastAsiaTheme="minorEastAsia"/>
                <w:kern w:val="0"/>
                <w:sz w:val="20"/>
                <w:szCs w:val="20"/>
              </w:rPr>
              <w:t>2</w:t>
            </w:r>
          </w:p>
        </w:tc>
        <w:tc>
          <w:tcPr>
            <w:tcW w:w="6975" w:type="dxa"/>
            <w:tcBorders>
              <w:top w:val="single" w:color="000000" w:sz="4" w:space="0"/>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预算执行率为100%或虽不是100%但不影响项目进展得2分，否则不得分。</w:t>
            </w:r>
          </w:p>
        </w:tc>
        <w:tc>
          <w:tcPr>
            <w:tcW w:w="821" w:type="dxa"/>
            <w:tcBorders>
              <w:top w:val="single" w:color="000000" w:sz="4" w:space="0"/>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2</w:t>
            </w:r>
          </w:p>
        </w:tc>
      </w:tr>
      <w:tr>
        <w:tblPrEx>
          <w:tblCellMar>
            <w:top w:w="0" w:type="dxa"/>
            <w:left w:w="108" w:type="dxa"/>
            <w:bottom w:w="0" w:type="dxa"/>
            <w:right w:w="108" w:type="dxa"/>
          </w:tblCellMar>
        </w:tblPrEx>
        <w:trPr>
          <w:trHeight w:val="1265"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2410" w:type="dxa"/>
            <w:tcBorders>
              <w:top w:val="nil"/>
              <w:left w:val="nil"/>
              <w:bottom w:val="single" w:color="auto" w:sz="4" w:space="0"/>
              <w:right w:val="single" w:color="auto" w:sz="4" w:space="0"/>
            </w:tcBorders>
            <w:vAlign w:val="center"/>
          </w:tcPr>
          <w:p>
            <w:pPr>
              <w:autoSpaceDE w:val="0"/>
              <w:autoSpaceDN w:val="0"/>
              <w:adjustRightInd w:val="0"/>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资金使用合规性</w:t>
            </w:r>
          </w:p>
        </w:tc>
        <w:tc>
          <w:tcPr>
            <w:tcW w:w="709"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18"/>
                <w:szCs w:val="18"/>
              </w:rPr>
            </w:pPr>
            <w:r>
              <w:rPr>
                <w:rFonts w:ascii="Arial Narrow" w:hAnsi="Arial Narrow" w:cs="Arial Narrow" w:eastAsiaTheme="minorEastAsia"/>
                <w:kern w:val="0"/>
                <w:sz w:val="20"/>
                <w:szCs w:val="20"/>
              </w:rPr>
              <w:t>2</w:t>
            </w:r>
          </w:p>
        </w:tc>
        <w:tc>
          <w:tcPr>
            <w:tcW w:w="6975" w:type="dxa"/>
            <w:tcBorders>
              <w:top w:val="nil"/>
              <w:left w:val="nil"/>
              <w:bottom w:val="single" w:color="auto" w:sz="4" w:space="0"/>
              <w:right w:val="single" w:color="auto" w:sz="4" w:space="0"/>
            </w:tcBorders>
            <w:vAlign w:val="center"/>
          </w:tcPr>
          <w:p>
            <w:pPr>
              <w:widowControl/>
              <w:numPr>
                <w:ilvl w:val="0"/>
                <w:numId w:val="2"/>
              </w:numPr>
              <w:jc w:val="left"/>
              <w:rPr>
                <w:rFonts w:ascii="宋体" w:hAnsi="宋体" w:cs="宋体"/>
                <w:color w:val="000000"/>
                <w:kern w:val="0"/>
                <w:sz w:val="18"/>
                <w:szCs w:val="18"/>
              </w:rPr>
            </w:pPr>
            <w:r>
              <w:rPr>
                <w:rFonts w:hint="eastAsia" w:ascii="宋体" w:hAnsi="宋体" w:cs="宋体"/>
                <w:color w:val="000000"/>
                <w:kern w:val="0"/>
                <w:sz w:val="18"/>
                <w:szCs w:val="18"/>
              </w:rPr>
              <w:t>支付符合财经法规和财务管理制度以及有关专项资金管理办法的规定得0.5分；</w:t>
            </w:r>
          </w:p>
          <w:p>
            <w:pPr>
              <w:widowControl/>
              <w:numPr>
                <w:ilvl w:val="0"/>
                <w:numId w:val="2"/>
              </w:numPr>
              <w:jc w:val="left"/>
              <w:rPr>
                <w:rFonts w:ascii="宋体" w:hAnsi="宋体" w:cs="宋体"/>
                <w:color w:val="000000"/>
                <w:kern w:val="0"/>
                <w:sz w:val="18"/>
                <w:szCs w:val="18"/>
              </w:rPr>
            </w:pPr>
            <w:r>
              <w:rPr>
                <w:rFonts w:hint="eastAsia" w:ascii="宋体" w:hAnsi="宋体" w:cs="宋体"/>
                <w:color w:val="000000"/>
                <w:kern w:val="0"/>
                <w:sz w:val="18"/>
                <w:szCs w:val="18"/>
              </w:rPr>
              <w:t>资金的拨付有完整的审批程序和手续得0.5分；</w:t>
            </w:r>
          </w:p>
          <w:p>
            <w:pPr>
              <w:widowControl/>
              <w:numPr>
                <w:ilvl w:val="0"/>
                <w:numId w:val="2"/>
              </w:numPr>
              <w:jc w:val="left"/>
              <w:rPr>
                <w:rFonts w:ascii="宋体" w:hAnsi="宋体" w:cs="宋体"/>
                <w:color w:val="000000"/>
                <w:kern w:val="0"/>
                <w:sz w:val="18"/>
                <w:szCs w:val="18"/>
              </w:rPr>
            </w:pPr>
            <w:r>
              <w:rPr>
                <w:rFonts w:hint="eastAsia" w:ascii="宋体" w:hAnsi="宋体" w:cs="宋体"/>
                <w:color w:val="000000"/>
                <w:kern w:val="0"/>
                <w:sz w:val="18"/>
                <w:szCs w:val="18"/>
              </w:rPr>
              <w:t>支付的资金符合项目预算批复或合同规定的用途得0.5分；</w:t>
            </w:r>
          </w:p>
          <w:p>
            <w:pPr>
              <w:widowControl/>
              <w:numPr>
                <w:ilvl w:val="0"/>
                <w:numId w:val="2"/>
              </w:numPr>
              <w:jc w:val="left"/>
              <w:rPr>
                <w:rFonts w:asciiTheme="minorEastAsia" w:hAnsiTheme="minorEastAsia" w:eastAsiaTheme="minorEastAsia" w:cstheme="minorEastAsia"/>
                <w:kern w:val="0"/>
                <w:sz w:val="18"/>
                <w:szCs w:val="18"/>
              </w:rPr>
            </w:pPr>
            <w:r>
              <w:rPr>
                <w:rFonts w:hint="eastAsia" w:ascii="宋体" w:hAnsi="宋体" w:cs="宋体"/>
                <w:color w:val="000000"/>
                <w:kern w:val="0"/>
                <w:sz w:val="18"/>
                <w:szCs w:val="18"/>
              </w:rPr>
              <w:t>不存在截留、挤占、挪用、虚列支出等情况得0.5分，否则不得分。</w:t>
            </w: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2</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1134" w:type="dxa"/>
            <w:vMerge w:val="restart"/>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组织实施</w:t>
            </w:r>
          </w:p>
        </w:tc>
        <w:tc>
          <w:tcPr>
            <w:tcW w:w="708" w:type="dxa"/>
            <w:vMerge w:val="restart"/>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asciiTheme="minorEastAsia" w:hAnsiTheme="minorEastAsia" w:eastAsiaTheme="minorEastAsia" w:cstheme="minorEastAsia"/>
                <w:kern w:val="0"/>
                <w:sz w:val="20"/>
                <w:szCs w:val="20"/>
              </w:rPr>
            </w:pPr>
            <w:r>
              <w:rPr>
                <w:rFonts w:ascii="Arial Narrow" w:hAnsi="Arial Narrow" w:cs="Arial Narrow" w:eastAsiaTheme="minorEastAsia"/>
                <w:kern w:val="0"/>
                <w:sz w:val="20"/>
                <w:szCs w:val="20"/>
              </w:rPr>
              <w:t>7</w:t>
            </w:r>
          </w:p>
        </w:tc>
        <w:tc>
          <w:tcPr>
            <w:tcW w:w="2410" w:type="dxa"/>
            <w:tcBorders>
              <w:top w:val="nil"/>
              <w:left w:val="nil"/>
              <w:bottom w:val="single" w:color="auto" w:sz="4" w:space="0"/>
              <w:right w:val="single" w:color="auto" w:sz="4" w:space="0"/>
            </w:tcBorders>
            <w:vAlign w:val="center"/>
          </w:tcPr>
          <w:p>
            <w:pPr>
              <w:autoSpaceDE w:val="0"/>
              <w:autoSpaceDN w:val="0"/>
              <w:adjustRightInd w:val="0"/>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组织机构</w:t>
            </w:r>
          </w:p>
        </w:tc>
        <w:tc>
          <w:tcPr>
            <w:tcW w:w="709"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ascii="Arial Narrow" w:hAnsi="Arial Narrow" w:cs="Arial Narrow" w:eastAsiaTheme="minorEastAsia"/>
                <w:kern w:val="0"/>
                <w:sz w:val="20"/>
                <w:szCs w:val="20"/>
              </w:rPr>
              <w:t>1</w:t>
            </w:r>
          </w:p>
        </w:tc>
        <w:tc>
          <w:tcPr>
            <w:tcW w:w="697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项目有组织机构得1分。</w:t>
            </w: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1</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1134"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2410" w:type="dxa"/>
            <w:tcBorders>
              <w:top w:val="nil"/>
              <w:left w:val="nil"/>
              <w:bottom w:val="single" w:color="auto" w:sz="4" w:space="0"/>
              <w:right w:val="single" w:color="auto" w:sz="4" w:space="0"/>
            </w:tcBorders>
            <w:vAlign w:val="center"/>
          </w:tcPr>
          <w:p>
            <w:pPr>
              <w:autoSpaceDE w:val="0"/>
              <w:autoSpaceDN w:val="0"/>
              <w:adjustRightInd w:val="0"/>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绿化设计及执行</w:t>
            </w:r>
          </w:p>
        </w:tc>
        <w:tc>
          <w:tcPr>
            <w:tcW w:w="709"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ascii="Arial Narrow" w:hAnsi="Arial Narrow" w:cs="Arial Narrow" w:eastAsiaTheme="minorEastAsia"/>
                <w:kern w:val="0"/>
                <w:sz w:val="20"/>
                <w:szCs w:val="20"/>
              </w:rPr>
              <w:t>1</w:t>
            </w:r>
          </w:p>
        </w:tc>
        <w:tc>
          <w:tcPr>
            <w:tcW w:w="697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有安全管理制度且执行到位得1分，否则不得分。</w:t>
            </w: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1</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1134"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2410" w:type="dxa"/>
            <w:tcBorders>
              <w:top w:val="nil"/>
              <w:left w:val="nil"/>
              <w:bottom w:val="single" w:color="auto" w:sz="4" w:space="0"/>
              <w:right w:val="single" w:color="auto" w:sz="4" w:space="0"/>
            </w:tcBorders>
            <w:vAlign w:val="center"/>
          </w:tcPr>
          <w:p>
            <w:pPr>
              <w:autoSpaceDE w:val="0"/>
              <w:autoSpaceDN w:val="0"/>
              <w:adjustRightInd w:val="0"/>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招投标管理制度及执行</w:t>
            </w:r>
          </w:p>
        </w:tc>
        <w:tc>
          <w:tcPr>
            <w:tcW w:w="709"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ascii="Arial Narrow" w:hAnsi="Arial Narrow" w:cs="Arial Narrow" w:eastAsiaTheme="minorEastAsia"/>
                <w:kern w:val="0"/>
                <w:sz w:val="20"/>
                <w:szCs w:val="20"/>
              </w:rPr>
              <w:t>1</w:t>
            </w:r>
          </w:p>
        </w:tc>
        <w:tc>
          <w:tcPr>
            <w:tcW w:w="697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有拆迁管理制度且执行到位得1分，否则不得分。</w:t>
            </w: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1</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1134"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2410" w:type="dxa"/>
            <w:tcBorders>
              <w:top w:val="nil"/>
              <w:left w:val="nil"/>
              <w:bottom w:val="single" w:color="auto" w:sz="4" w:space="0"/>
              <w:right w:val="single" w:color="auto" w:sz="4" w:space="0"/>
            </w:tcBorders>
            <w:vAlign w:val="center"/>
          </w:tcPr>
          <w:p>
            <w:pPr>
              <w:autoSpaceDE w:val="0"/>
              <w:autoSpaceDN w:val="0"/>
              <w:adjustRightInd w:val="0"/>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合同管理制度及执行</w:t>
            </w:r>
          </w:p>
        </w:tc>
        <w:tc>
          <w:tcPr>
            <w:tcW w:w="709"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ascii="Arial Narrow" w:hAnsi="Arial Narrow" w:cs="Arial Narrow" w:eastAsiaTheme="minorEastAsia"/>
                <w:kern w:val="0"/>
                <w:sz w:val="20"/>
                <w:szCs w:val="20"/>
              </w:rPr>
              <w:t>1</w:t>
            </w:r>
          </w:p>
        </w:tc>
        <w:tc>
          <w:tcPr>
            <w:tcW w:w="697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有招投标管理制度且执行到位得1分，否则不得分。</w:t>
            </w: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0</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1134"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2410" w:type="dxa"/>
            <w:tcBorders>
              <w:top w:val="nil"/>
              <w:left w:val="nil"/>
              <w:bottom w:val="single" w:color="auto" w:sz="4" w:space="0"/>
              <w:right w:val="single" w:color="auto" w:sz="4" w:space="0"/>
            </w:tcBorders>
            <w:vAlign w:val="center"/>
          </w:tcPr>
          <w:p>
            <w:pPr>
              <w:autoSpaceDE w:val="0"/>
              <w:autoSpaceDN w:val="0"/>
              <w:adjustRightInd w:val="0"/>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工程监理制度及执行</w:t>
            </w:r>
          </w:p>
        </w:tc>
        <w:tc>
          <w:tcPr>
            <w:tcW w:w="709"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ascii="Arial Narrow" w:hAnsi="Arial Narrow" w:cs="Arial Narrow" w:eastAsiaTheme="minorEastAsia"/>
                <w:kern w:val="0"/>
                <w:sz w:val="20"/>
                <w:szCs w:val="20"/>
              </w:rPr>
              <w:t>1</w:t>
            </w:r>
          </w:p>
        </w:tc>
        <w:tc>
          <w:tcPr>
            <w:tcW w:w="697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有合同管理制度且执行到位得1分，否则不得分。</w:t>
            </w: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1</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1134"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2410" w:type="dxa"/>
            <w:tcBorders>
              <w:top w:val="nil"/>
              <w:left w:val="nil"/>
              <w:bottom w:val="single" w:color="auto" w:sz="4" w:space="0"/>
              <w:right w:val="single" w:color="auto" w:sz="4" w:space="0"/>
            </w:tcBorders>
            <w:vAlign w:val="center"/>
          </w:tcPr>
          <w:p>
            <w:pPr>
              <w:autoSpaceDE w:val="0"/>
              <w:autoSpaceDN w:val="0"/>
              <w:adjustRightInd w:val="0"/>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项目变更情况</w:t>
            </w:r>
          </w:p>
        </w:tc>
        <w:tc>
          <w:tcPr>
            <w:tcW w:w="709"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ascii="Arial Narrow" w:hAnsi="Arial Narrow" w:cs="Arial Narrow" w:eastAsiaTheme="minorEastAsia"/>
                <w:kern w:val="0"/>
                <w:sz w:val="20"/>
                <w:szCs w:val="20"/>
              </w:rPr>
              <w:t>1</w:t>
            </w:r>
          </w:p>
        </w:tc>
        <w:tc>
          <w:tcPr>
            <w:tcW w:w="697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有健全的财务管理制度且执行到位得1分，否则不得分。</w:t>
            </w: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1</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1134"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2410" w:type="dxa"/>
            <w:tcBorders>
              <w:top w:val="nil"/>
              <w:left w:val="nil"/>
              <w:bottom w:val="single" w:color="auto" w:sz="4" w:space="0"/>
              <w:right w:val="single" w:color="auto" w:sz="4" w:space="0"/>
            </w:tcBorders>
            <w:vAlign w:val="center"/>
          </w:tcPr>
          <w:p>
            <w:pPr>
              <w:autoSpaceDE w:val="0"/>
              <w:autoSpaceDN w:val="0"/>
              <w:adjustRightInd w:val="0"/>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档案管理制度及执行</w:t>
            </w:r>
          </w:p>
        </w:tc>
        <w:tc>
          <w:tcPr>
            <w:tcW w:w="709"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ascii="Arial Narrow" w:hAnsi="Arial Narrow" w:cs="Arial Narrow" w:eastAsiaTheme="minorEastAsia"/>
                <w:kern w:val="0"/>
                <w:sz w:val="20"/>
                <w:szCs w:val="20"/>
              </w:rPr>
              <w:t>1</w:t>
            </w:r>
          </w:p>
        </w:tc>
        <w:tc>
          <w:tcPr>
            <w:tcW w:w="697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有健全的项目资金使用制度且执行到位得1分，否则不得分。</w:t>
            </w: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0.5</w:t>
            </w:r>
          </w:p>
        </w:tc>
      </w:tr>
      <w:tr>
        <w:tblPrEx>
          <w:tblCellMar>
            <w:top w:w="0" w:type="dxa"/>
            <w:left w:w="108" w:type="dxa"/>
            <w:bottom w:w="0" w:type="dxa"/>
            <w:right w:w="108" w:type="dxa"/>
          </w:tblCellMar>
        </w:tblPrEx>
        <w:trPr>
          <w:trHeight w:val="810" w:hRule="exact"/>
        </w:trPr>
        <w:tc>
          <w:tcPr>
            <w:tcW w:w="959" w:type="dxa"/>
            <w:vMerge w:val="restart"/>
            <w:tcBorders>
              <w:top w:val="nil"/>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产出</w:t>
            </w:r>
          </w:p>
        </w:tc>
        <w:tc>
          <w:tcPr>
            <w:tcW w:w="709" w:type="dxa"/>
            <w:vMerge w:val="restart"/>
            <w:tcBorders>
              <w:top w:val="nil"/>
              <w:left w:val="single" w:color="auto" w:sz="4" w:space="0"/>
              <w:bottom w:val="single" w:color="000000" w:sz="4" w:space="0"/>
              <w:right w:val="single" w:color="auto" w:sz="4" w:space="0"/>
            </w:tcBorders>
            <w:vAlign w:val="center"/>
          </w:tcPr>
          <w:p>
            <w:pPr>
              <w:jc w:val="center"/>
              <w:rPr>
                <w:rFonts w:ascii="Arial Narrow" w:hAnsi="Arial Narrow" w:cs="Arial Narrow" w:eastAsiaTheme="minorEastAsia"/>
                <w:sz w:val="20"/>
                <w:szCs w:val="20"/>
              </w:rPr>
            </w:pPr>
            <w:r>
              <w:rPr>
                <w:rFonts w:ascii="Arial Narrow" w:hAnsi="Arial Narrow" w:cs="Arial Narrow" w:eastAsiaTheme="minorEastAsia"/>
                <w:sz w:val="20"/>
                <w:szCs w:val="20"/>
              </w:rPr>
              <w:t>3</w:t>
            </w:r>
            <w:r>
              <w:rPr>
                <w:rFonts w:hint="eastAsia" w:ascii="Arial Narrow" w:hAnsi="Arial Narrow" w:cs="Arial Narrow" w:eastAsiaTheme="minorEastAsia"/>
                <w:sz w:val="20"/>
                <w:szCs w:val="20"/>
              </w:rPr>
              <w:t>5</w:t>
            </w:r>
          </w:p>
        </w:tc>
        <w:tc>
          <w:tcPr>
            <w:tcW w:w="1134" w:type="dxa"/>
            <w:vMerge w:val="restart"/>
            <w:tcBorders>
              <w:top w:val="single" w:color="000000" w:sz="4" w:space="0"/>
              <w:left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bCs/>
                <w:sz w:val="20"/>
                <w:szCs w:val="20"/>
              </w:rPr>
              <w:t>产出数量</w:t>
            </w:r>
          </w:p>
        </w:tc>
        <w:tc>
          <w:tcPr>
            <w:tcW w:w="708" w:type="dxa"/>
            <w:vMerge w:val="restart"/>
            <w:tcBorders>
              <w:top w:val="single" w:color="000000" w:sz="4" w:space="0"/>
              <w:left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hint="eastAsia" w:ascii="Arial Narrow" w:hAnsi="Arial Narrow" w:cs="Arial Narrow" w:eastAsiaTheme="minorEastAsia"/>
                <w:sz w:val="20"/>
                <w:szCs w:val="20"/>
              </w:rPr>
              <w:t>15</w:t>
            </w:r>
          </w:p>
        </w:tc>
        <w:tc>
          <w:tcPr>
            <w:tcW w:w="241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皂荚创新科技示范园栽植工程完成率</w:t>
            </w:r>
          </w:p>
        </w:tc>
        <w:tc>
          <w:tcPr>
            <w:tcW w:w="709"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5</w:t>
            </w:r>
          </w:p>
        </w:tc>
        <w:tc>
          <w:tcPr>
            <w:tcW w:w="6975" w:type="dxa"/>
            <w:vMerge w:val="restart"/>
            <w:tcBorders>
              <w:top w:val="nil"/>
              <w:left w:val="nil"/>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参照相关文件、工程资料等与实际完成情况进行对比，按设计、预算要求完成工作量得5分，每下降1%，扣除0.5分。</w:t>
            </w: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5</w:t>
            </w:r>
          </w:p>
        </w:tc>
      </w:tr>
      <w:tr>
        <w:tblPrEx>
          <w:tblCellMar>
            <w:top w:w="0" w:type="dxa"/>
            <w:left w:w="108" w:type="dxa"/>
            <w:bottom w:w="0" w:type="dxa"/>
            <w:right w:w="108" w:type="dxa"/>
          </w:tblCellMar>
        </w:tblPrEx>
        <w:trPr>
          <w:trHeight w:val="579" w:hRule="exact"/>
        </w:trPr>
        <w:tc>
          <w:tcPr>
            <w:tcW w:w="959"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continue"/>
            <w:tcBorders>
              <w:left w:val="single" w:color="auto" w:sz="4" w:space="0"/>
              <w:right w:val="single" w:color="auto" w:sz="4" w:space="0"/>
            </w:tcBorders>
            <w:vAlign w:val="center"/>
          </w:tcPr>
          <w:p>
            <w:pPr>
              <w:jc w:val="center"/>
              <w:rPr>
                <w:rFonts w:asciiTheme="minorEastAsia" w:hAnsiTheme="minorEastAsia" w:eastAsiaTheme="minorEastAsia" w:cstheme="minorEastAsia"/>
                <w:sz w:val="20"/>
                <w:szCs w:val="20"/>
              </w:rPr>
            </w:pPr>
          </w:p>
        </w:tc>
        <w:tc>
          <w:tcPr>
            <w:tcW w:w="708" w:type="dxa"/>
            <w:vMerge w:val="continue"/>
            <w:tcBorders>
              <w:left w:val="single" w:color="auto" w:sz="4" w:space="0"/>
              <w:right w:val="single" w:color="auto" w:sz="4" w:space="0"/>
            </w:tcBorders>
            <w:vAlign w:val="center"/>
          </w:tcPr>
          <w:p>
            <w:pPr>
              <w:jc w:val="center"/>
              <w:rPr>
                <w:rFonts w:ascii="Arial Narrow" w:hAnsi="Arial Narrow" w:cs="Arial Narrow" w:eastAsiaTheme="minorEastAsia"/>
                <w:sz w:val="20"/>
                <w:szCs w:val="20"/>
              </w:rPr>
            </w:pPr>
          </w:p>
        </w:tc>
        <w:tc>
          <w:tcPr>
            <w:tcW w:w="241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荒滩绿化工程完成率</w:t>
            </w:r>
          </w:p>
        </w:tc>
        <w:tc>
          <w:tcPr>
            <w:tcW w:w="709"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5</w:t>
            </w:r>
          </w:p>
        </w:tc>
        <w:tc>
          <w:tcPr>
            <w:tcW w:w="6975" w:type="dxa"/>
            <w:vMerge w:val="continue"/>
            <w:tcBorders>
              <w:left w:val="nil"/>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5</w:t>
            </w:r>
          </w:p>
        </w:tc>
      </w:tr>
      <w:tr>
        <w:tblPrEx>
          <w:tblCellMar>
            <w:top w:w="0" w:type="dxa"/>
            <w:left w:w="108" w:type="dxa"/>
            <w:bottom w:w="0" w:type="dxa"/>
            <w:right w:w="108" w:type="dxa"/>
          </w:tblCellMar>
        </w:tblPrEx>
        <w:trPr>
          <w:trHeight w:val="854" w:hRule="exact"/>
        </w:trPr>
        <w:tc>
          <w:tcPr>
            <w:tcW w:w="959"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continue"/>
            <w:tcBorders>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cstheme="minorEastAsia"/>
                <w:sz w:val="20"/>
                <w:szCs w:val="20"/>
              </w:rPr>
            </w:pPr>
          </w:p>
        </w:tc>
        <w:tc>
          <w:tcPr>
            <w:tcW w:w="708" w:type="dxa"/>
            <w:vMerge w:val="continue"/>
            <w:tcBorders>
              <w:left w:val="single" w:color="auto" w:sz="4" w:space="0"/>
              <w:bottom w:val="single" w:color="000000" w:sz="4" w:space="0"/>
              <w:right w:val="single" w:color="auto" w:sz="4" w:space="0"/>
            </w:tcBorders>
            <w:vAlign w:val="center"/>
          </w:tcPr>
          <w:p>
            <w:pPr>
              <w:jc w:val="center"/>
              <w:rPr>
                <w:rFonts w:ascii="Arial Narrow" w:hAnsi="Arial Narrow" w:cs="Arial Narrow" w:eastAsiaTheme="minorEastAsia"/>
                <w:sz w:val="20"/>
                <w:szCs w:val="20"/>
              </w:rPr>
            </w:pPr>
          </w:p>
        </w:tc>
        <w:tc>
          <w:tcPr>
            <w:tcW w:w="241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全民义务植树基地建设工程完成率</w:t>
            </w:r>
          </w:p>
        </w:tc>
        <w:tc>
          <w:tcPr>
            <w:tcW w:w="709"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5</w:t>
            </w:r>
          </w:p>
        </w:tc>
        <w:tc>
          <w:tcPr>
            <w:tcW w:w="6975" w:type="dxa"/>
            <w:vMerge w:val="continue"/>
            <w:tcBorders>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5</w:t>
            </w:r>
          </w:p>
        </w:tc>
      </w:tr>
      <w:tr>
        <w:tblPrEx>
          <w:tblCellMar>
            <w:top w:w="0" w:type="dxa"/>
            <w:left w:w="108" w:type="dxa"/>
            <w:bottom w:w="0" w:type="dxa"/>
            <w:right w:w="108" w:type="dxa"/>
          </w:tblCellMar>
        </w:tblPrEx>
        <w:trPr>
          <w:trHeight w:val="437" w:hRule="exact"/>
        </w:trPr>
        <w:tc>
          <w:tcPr>
            <w:tcW w:w="959"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restart"/>
            <w:tcBorders>
              <w:top w:val="single" w:color="000000" w:sz="4" w:space="0"/>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产出质量</w:t>
            </w:r>
          </w:p>
        </w:tc>
        <w:tc>
          <w:tcPr>
            <w:tcW w:w="708" w:type="dxa"/>
            <w:vMerge w:val="restart"/>
            <w:tcBorders>
              <w:top w:val="single" w:color="000000" w:sz="4" w:space="0"/>
              <w:left w:val="single" w:color="auto" w:sz="4" w:space="0"/>
              <w:bottom w:val="single" w:color="000000" w:sz="4" w:space="0"/>
              <w:right w:val="single" w:color="auto" w:sz="4" w:space="0"/>
            </w:tcBorders>
            <w:vAlign w:val="center"/>
          </w:tcPr>
          <w:p>
            <w:pPr>
              <w:jc w:val="center"/>
              <w:rPr>
                <w:rFonts w:ascii="Arial Narrow" w:hAnsi="Arial Narrow" w:cs="Arial Narrow" w:eastAsiaTheme="minorEastAsia"/>
                <w:sz w:val="20"/>
                <w:szCs w:val="20"/>
              </w:rPr>
            </w:pPr>
            <w:r>
              <w:rPr>
                <w:rFonts w:ascii="Arial Narrow" w:hAnsi="Arial Narrow" w:cs="Arial Narrow" w:eastAsiaTheme="minorEastAsia"/>
                <w:sz w:val="20"/>
                <w:szCs w:val="20"/>
              </w:rPr>
              <w:t>1</w:t>
            </w:r>
            <w:r>
              <w:rPr>
                <w:rFonts w:hint="eastAsia" w:ascii="Arial Narrow" w:hAnsi="Arial Narrow" w:cs="Arial Narrow" w:eastAsiaTheme="minorEastAsia"/>
                <w:sz w:val="20"/>
                <w:szCs w:val="20"/>
              </w:rPr>
              <w:t>0</w:t>
            </w:r>
          </w:p>
        </w:tc>
        <w:tc>
          <w:tcPr>
            <w:tcW w:w="241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竣工验收有效性</w:t>
            </w:r>
          </w:p>
        </w:tc>
        <w:tc>
          <w:tcPr>
            <w:tcW w:w="709"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5</w:t>
            </w:r>
          </w:p>
        </w:tc>
        <w:tc>
          <w:tcPr>
            <w:tcW w:w="697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按制定的验收办法严格组织验收，验收合格得5分，验收不合格按比例扣分。</w:t>
            </w: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4</w:t>
            </w:r>
          </w:p>
        </w:tc>
      </w:tr>
      <w:tr>
        <w:tblPrEx>
          <w:tblCellMar>
            <w:top w:w="0" w:type="dxa"/>
            <w:left w:w="108" w:type="dxa"/>
            <w:bottom w:w="0" w:type="dxa"/>
            <w:right w:w="108" w:type="dxa"/>
          </w:tblCellMar>
        </w:tblPrEx>
        <w:trPr>
          <w:trHeight w:val="810" w:hRule="exact"/>
        </w:trPr>
        <w:tc>
          <w:tcPr>
            <w:tcW w:w="959"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sz w:val="20"/>
                <w:szCs w:val="20"/>
              </w:rPr>
            </w:pPr>
          </w:p>
        </w:tc>
        <w:tc>
          <w:tcPr>
            <w:tcW w:w="708" w:type="dxa"/>
            <w:vMerge w:val="continue"/>
            <w:tcBorders>
              <w:top w:val="single" w:color="000000" w:sz="4" w:space="0"/>
              <w:left w:val="single" w:color="auto" w:sz="4" w:space="0"/>
              <w:bottom w:val="single" w:color="000000" w:sz="4" w:space="0"/>
              <w:right w:val="single" w:color="auto" w:sz="4" w:space="0"/>
            </w:tcBorders>
            <w:vAlign w:val="center"/>
          </w:tcPr>
          <w:p>
            <w:pPr>
              <w:widowControl/>
              <w:jc w:val="left"/>
              <w:rPr>
                <w:rFonts w:ascii="Arial Narrow" w:hAnsi="Arial Narrow" w:cs="Arial Narrow" w:eastAsiaTheme="minorEastAsia"/>
                <w:sz w:val="20"/>
                <w:szCs w:val="20"/>
              </w:rPr>
            </w:pPr>
          </w:p>
        </w:tc>
        <w:tc>
          <w:tcPr>
            <w:tcW w:w="241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苗木成活率</w:t>
            </w:r>
          </w:p>
        </w:tc>
        <w:tc>
          <w:tcPr>
            <w:tcW w:w="709"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5</w:t>
            </w:r>
          </w:p>
        </w:tc>
        <w:tc>
          <w:tcPr>
            <w:tcW w:w="697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苗木成活率达成施工合同中约定的标准，得5分；每降低5%减1分，5分减完为止。</w:t>
            </w: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5</w:t>
            </w:r>
          </w:p>
        </w:tc>
      </w:tr>
      <w:tr>
        <w:tblPrEx>
          <w:tblCellMar>
            <w:top w:w="0" w:type="dxa"/>
            <w:left w:w="108" w:type="dxa"/>
            <w:bottom w:w="0" w:type="dxa"/>
            <w:right w:w="108" w:type="dxa"/>
          </w:tblCellMar>
        </w:tblPrEx>
        <w:trPr>
          <w:trHeight w:val="425" w:hRule="exact"/>
        </w:trPr>
        <w:tc>
          <w:tcPr>
            <w:tcW w:w="959"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tcBorders>
              <w:top w:val="single" w:color="000000" w:sz="4" w:space="0"/>
              <w:left w:val="single" w:color="auto" w:sz="4" w:space="0"/>
              <w:bottom w:val="nil"/>
              <w:right w:val="single" w:color="auto" w:sz="4" w:space="0"/>
            </w:tcBorders>
            <w:vAlign w:val="center"/>
          </w:tcPr>
          <w:p>
            <w:pPr>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产出时效</w:t>
            </w:r>
          </w:p>
        </w:tc>
        <w:tc>
          <w:tcPr>
            <w:tcW w:w="708" w:type="dxa"/>
            <w:tcBorders>
              <w:top w:val="single" w:color="000000" w:sz="4" w:space="0"/>
              <w:left w:val="single" w:color="auto" w:sz="4" w:space="0"/>
              <w:bottom w:val="nil"/>
              <w:right w:val="single" w:color="auto" w:sz="4" w:space="0"/>
            </w:tcBorders>
            <w:vAlign w:val="center"/>
          </w:tcPr>
          <w:p>
            <w:pPr>
              <w:jc w:val="center"/>
              <w:rPr>
                <w:rFonts w:asciiTheme="minorEastAsia" w:hAnsiTheme="minorEastAsia" w:eastAsiaTheme="minorEastAsia" w:cstheme="minorEastAsia"/>
                <w:kern w:val="0"/>
                <w:sz w:val="20"/>
                <w:szCs w:val="20"/>
              </w:rPr>
            </w:pPr>
            <w:r>
              <w:rPr>
                <w:rFonts w:hint="eastAsia" w:ascii="Arial Narrow" w:hAnsi="Arial Narrow" w:cs="Arial Narrow" w:eastAsiaTheme="minorEastAsia"/>
                <w:sz w:val="20"/>
                <w:szCs w:val="20"/>
              </w:rPr>
              <w:t>5</w:t>
            </w:r>
          </w:p>
        </w:tc>
        <w:tc>
          <w:tcPr>
            <w:tcW w:w="2410" w:type="dxa"/>
            <w:tcBorders>
              <w:top w:val="nil"/>
              <w:left w:val="nil"/>
              <w:bottom w:val="single" w:color="auto"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完成及时性</w:t>
            </w:r>
          </w:p>
        </w:tc>
        <w:tc>
          <w:tcPr>
            <w:tcW w:w="709"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5</w:t>
            </w:r>
          </w:p>
        </w:tc>
        <w:tc>
          <w:tcPr>
            <w:tcW w:w="6975" w:type="dxa"/>
            <w:tcBorders>
              <w:top w:val="nil"/>
              <w:left w:val="nil"/>
              <w:bottom w:val="single" w:color="auto"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按批复文件要求的时间内完工，每逾期一个月扣1分。</w:t>
            </w:r>
          </w:p>
        </w:tc>
        <w:tc>
          <w:tcPr>
            <w:tcW w:w="821" w:type="dxa"/>
            <w:tcBorders>
              <w:top w:val="nil"/>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5</w:t>
            </w:r>
          </w:p>
        </w:tc>
      </w:tr>
      <w:tr>
        <w:tblPrEx>
          <w:tblCellMar>
            <w:top w:w="0" w:type="dxa"/>
            <w:left w:w="108" w:type="dxa"/>
            <w:bottom w:w="0" w:type="dxa"/>
            <w:right w:w="108" w:type="dxa"/>
          </w:tblCellMar>
        </w:tblPrEx>
        <w:trPr>
          <w:trHeight w:val="660" w:hRule="exact"/>
        </w:trPr>
        <w:tc>
          <w:tcPr>
            <w:tcW w:w="959"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tcBorders>
              <w:top w:val="single" w:color="000000" w:sz="4" w:space="0"/>
              <w:left w:val="single" w:color="auto" w:sz="4" w:space="0"/>
              <w:bottom w:val="single" w:color="000000" w:sz="4" w:space="0"/>
              <w:right w:val="single" w:color="auto" w:sz="4" w:space="0"/>
            </w:tcBorders>
            <w:vAlign w:val="center"/>
          </w:tcPr>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产出成本</w:t>
            </w:r>
          </w:p>
        </w:tc>
        <w:tc>
          <w:tcPr>
            <w:tcW w:w="708" w:type="dxa"/>
            <w:tcBorders>
              <w:top w:val="single" w:color="000000" w:sz="4" w:space="0"/>
              <w:left w:val="single" w:color="auto" w:sz="4" w:space="0"/>
              <w:bottom w:val="single" w:color="000000"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5</w:t>
            </w:r>
          </w:p>
        </w:tc>
        <w:tc>
          <w:tcPr>
            <w:tcW w:w="2410" w:type="dxa"/>
            <w:tcBorders>
              <w:top w:val="nil"/>
              <w:left w:val="nil"/>
              <w:bottom w:val="single" w:color="000000" w:sz="4" w:space="0"/>
              <w:right w:val="single" w:color="auto"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成本节约率</w:t>
            </w:r>
          </w:p>
        </w:tc>
        <w:tc>
          <w:tcPr>
            <w:tcW w:w="709" w:type="dxa"/>
            <w:tcBorders>
              <w:top w:val="nil"/>
              <w:left w:val="nil"/>
              <w:bottom w:val="single" w:color="000000"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5</w:t>
            </w:r>
          </w:p>
        </w:tc>
        <w:tc>
          <w:tcPr>
            <w:tcW w:w="6975" w:type="dxa"/>
            <w:tcBorders>
              <w:top w:val="nil"/>
              <w:left w:val="nil"/>
              <w:bottom w:val="single" w:color="000000" w:sz="4" w:space="0"/>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（计划成本-实际成本）/计划成本×100%%≥0得6分，每少5%扣减2分，扣完为止。</w:t>
            </w:r>
          </w:p>
        </w:tc>
        <w:tc>
          <w:tcPr>
            <w:tcW w:w="821" w:type="dxa"/>
            <w:tcBorders>
              <w:top w:val="nil"/>
              <w:left w:val="nil"/>
              <w:bottom w:val="single" w:color="000000"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5</w:t>
            </w:r>
          </w:p>
        </w:tc>
      </w:tr>
      <w:tr>
        <w:tblPrEx>
          <w:tblCellMar>
            <w:top w:w="0" w:type="dxa"/>
            <w:left w:w="108" w:type="dxa"/>
            <w:bottom w:w="0" w:type="dxa"/>
            <w:right w:w="108" w:type="dxa"/>
          </w:tblCellMar>
        </w:tblPrEx>
        <w:trPr>
          <w:trHeight w:val="340" w:hRule="atLeast"/>
        </w:trPr>
        <w:tc>
          <w:tcPr>
            <w:tcW w:w="959" w:type="dxa"/>
            <w:vMerge w:val="restart"/>
            <w:tcBorders>
              <w:top w:val="single" w:color="000000" w:sz="4" w:space="0"/>
              <w:left w:val="single" w:color="000000" w:sz="4" w:space="0"/>
              <w:bottom w:val="single" w:color="auto" w:sz="4" w:space="0"/>
              <w:right w:val="single" w:color="000000" w:sz="4" w:space="0"/>
            </w:tcBorders>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效益</w:t>
            </w:r>
          </w:p>
        </w:tc>
        <w:tc>
          <w:tcPr>
            <w:tcW w:w="709" w:type="dxa"/>
            <w:vMerge w:val="restart"/>
            <w:tcBorders>
              <w:top w:val="single" w:color="000000" w:sz="4" w:space="0"/>
              <w:left w:val="single" w:color="000000" w:sz="4" w:space="0"/>
              <w:bottom w:val="single" w:color="auto" w:sz="4" w:space="0"/>
              <w:right w:val="single" w:color="000000" w:sz="4" w:space="0"/>
            </w:tcBorders>
            <w:vAlign w:val="center"/>
          </w:tcPr>
          <w:p>
            <w:pPr>
              <w:jc w:val="center"/>
              <w:rPr>
                <w:rFonts w:asciiTheme="minorEastAsia" w:hAnsiTheme="minorEastAsia" w:eastAsiaTheme="minorEastAsia" w:cstheme="minorEastAsia"/>
                <w:kern w:val="0"/>
                <w:sz w:val="20"/>
                <w:szCs w:val="20"/>
              </w:rPr>
            </w:pPr>
            <w:r>
              <w:rPr>
                <w:rFonts w:hint="eastAsia" w:ascii="Arial Narrow" w:hAnsi="Arial Narrow" w:cs="Arial Narrow" w:eastAsiaTheme="minorEastAsia"/>
                <w:sz w:val="20"/>
                <w:szCs w:val="20"/>
              </w:rPr>
              <w:t>26</w:t>
            </w:r>
          </w:p>
        </w:tc>
        <w:tc>
          <w:tcPr>
            <w:tcW w:w="113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生态效益</w:t>
            </w:r>
          </w:p>
        </w:tc>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kern w:val="0"/>
                <w:sz w:val="20"/>
                <w:szCs w:val="20"/>
              </w:rPr>
            </w:pPr>
            <w:r>
              <w:rPr>
                <w:rFonts w:ascii="Arial Narrow" w:hAnsi="Arial Narrow" w:cs="Arial Narrow" w:eastAsiaTheme="minorEastAsia"/>
                <w:sz w:val="20"/>
                <w:szCs w:val="20"/>
              </w:rPr>
              <w:t>1</w:t>
            </w:r>
            <w:r>
              <w:rPr>
                <w:rFonts w:hint="eastAsia" w:ascii="Arial Narrow" w:hAnsi="Arial Narrow" w:cs="Arial Narrow" w:eastAsiaTheme="minorEastAsia"/>
                <w:sz w:val="20"/>
                <w:szCs w:val="20"/>
              </w:rPr>
              <w:t>0</w:t>
            </w: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森林覆盖率</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kern w:val="0"/>
                <w:sz w:val="20"/>
                <w:szCs w:val="20"/>
              </w:rPr>
            </w:pPr>
            <w:r>
              <w:rPr>
                <w:rFonts w:hint="eastAsia" w:ascii="Arial Narrow" w:hAnsi="Arial Narrow" w:cs="Arial Narrow" w:eastAsiaTheme="minorEastAsia"/>
                <w:sz w:val="20"/>
                <w:szCs w:val="20"/>
              </w:rPr>
              <w:t>2</w:t>
            </w:r>
          </w:p>
        </w:tc>
        <w:tc>
          <w:tcPr>
            <w:tcW w:w="6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r>
              <w:rPr>
                <w:rFonts w:hint="eastAsia" w:asciiTheme="minorEastAsia" w:hAnsiTheme="minorEastAsia" w:eastAsiaTheme="minorEastAsia" w:cstheme="minorEastAsia"/>
                <w:kern w:val="0"/>
                <w:sz w:val="20"/>
                <w:szCs w:val="20"/>
              </w:rPr>
              <w:t>通过调查问卷、相关数据查询等方法，对项目实施产生的生态效益进行评价。</w:t>
            </w:r>
          </w:p>
          <w:p>
            <w:pPr>
              <w:jc w:val="left"/>
              <w:rPr>
                <w:rFonts w:asciiTheme="minorEastAsia" w:hAnsiTheme="minorEastAsia" w:eastAsiaTheme="minorEastAsia" w:cstheme="minorEastAsia"/>
                <w:kern w:val="0"/>
                <w:sz w:val="20"/>
                <w:szCs w:val="20"/>
                <w:highlight w:val="yellow"/>
              </w:rPr>
            </w:pPr>
          </w:p>
        </w:tc>
        <w:tc>
          <w:tcPr>
            <w:tcW w:w="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2</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改善气候</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kern w:val="0"/>
                <w:sz w:val="20"/>
                <w:szCs w:val="20"/>
              </w:rPr>
            </w:pPr>
            <w:r>
              <w:rPr>
                <w:rFonts w:hint="eastAsia" w:ascii="Arial Narrow" w:hAnsi="Arial Narrow" w:cs="Arial Narrow" w:eastAsiaTheme="minorEastAsia"/>
                <w:sz w:val="20"/>
                <w:szCs w:val="20"/>
              </w:rPr>
              <w:t>2</w:t>
            </w:r>
          </w:p>
        </w:tc>
        <w:tc>
          <w:tcPr>
            <w:tcW w:w="6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1.5</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净化空气</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2</w:t>
            </w:r>
          </w:p>
        </w:tc>
        <w:tc>
          <w:tcPr>
            <w:tcW w:w="6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1.7</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降低噪声</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kern w:val="0"/>
                <w:sz w:val="20"/>
                <w:szCs w:val="20"/>
              </w:rPr>
            </w:pPr>
            <w:r>
              <w:rPr>
                <w:rFonts w:hint="eastAsia" w:ascii="Arial Narrow" w:hAnsi="Arial Narrow" w:cs="Arial Narrow" w:eastAsiaTheme="minorEastAsia"/>
                <w:sz w:val="20"/>
                <w:szCs w:val="20"/>
              </w:rPr>
              <w:t>2</w:t>
            </w:r>
          </w:p>
        </w:tc>
        <w:tc>
          <w:tcPr>
            <w:tcW w:w="6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1.6</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2410" w:type="dxa"/>
            <w:tcBorders>
              <w:top w:val="single" w:color="000000" w:sz="4" w:space="0"/>
              <w:left w:val="single" w:color="000000" w:sz="4" w:space="0"/>
              <w:bottom w:val="single" w:color="000000" w:sz="4" w:space="0"/>
              <w:right w:val="single" w:color="000000" w:sz="4" w:space="0"/>
            </w:tcBorders>
            <w:vAlign w:val="center"/>
          </w:tcPr>
          <w:p>
            <w:pP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抵御风沙</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Theme="minorEastAsia" w:hAnsiTheme="minorEastAsia" w:eastAsiaTheme="minorEastAsia" w:cstheme="minorEastAsia"/>
                <w:kern w:val="0"/>
                <w:sz w:val="20"/>
                <w:szCs w:val="20"/>
              </w:rPr>
            </w:pPr>
            <w:r>
              <w:rPr>
                <w:rFonts w:hint="eastAsia" w:ascii="Arial Narrow" w:hAnsi="Arial Narrow" w:cs="Arial Narrow" w:eastAsiaTheme="minorEastAsia"/>
                <w:sz w:val="20"/>
                <w:szCs w:val="20"/>
              </w:rPr>
              <w:t>2</w:t>
            </w:r>
          </w:p>
        </w:tc>
        <w:tc>
          <w:tcPr>
            <w:tcW w:w="6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heme="minorEastAsia" w:hAnsiTheme="minorEastAsia" w:eastAsiaTheme="minorEastAsia" w:cstheme="minorEastAsia"/>
                <w:kern w:val="0"/>
                <w:sz w:val="20"/>
                <w:szCs w:val="20"/>
                <w:highlight w:val="yellow"/>
              </w:rPr>
            </w:pPr>
          </w:p>
        </w:tc>
        <w:tc>
          <w:tcPr>
            <w:tcW w:w="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1.7</w:t>
            </w:r>
          </w:p>
        </w:tc>
      </w:tr>
      <w:tr>
        <w:tblPrEx>
          <w:tblCellMar>
            <w:top w:w="0" w:type="dxa"/>
            <w:left w:w="108" w:type="dxa"/>
            <w:bottom w:w="0" w:type="dxa"/>
            <w:right w:w="108" w:type="dxa"/>
          </w:tblCellMar>
        </w:tblPrEx>
        <w:trPr>
          <w:trHeight w:val="55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tcBorders>
              <w:top w:val="single" w:color="000000" w:sz="4" w:space="0"/>
              <w:left w:val="nil"/>
              <w:bottom w:val="nil"/>
              <w:right w:val="single" w:color="auto" w:sz="4" w:space="0"/>
            </w:tcBorders>
            <w:vAlign w:val="center"/>
          </w:tcPr>
          <w:p>
            <w:pPr>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sz w:val="18"/>
                <w:szCs w:val="18"/>
              </w:rPr>
              <w:t>满意度</w:t>
            </w:r>
          </w:p>
        </w:tc>
        <w:tc>
          <w:tcPr>
            <w:tcW w:w="708" w:type="dxa"/>
            <w:tcBorders>
              <w:top w:val="single" w:color="000000" w:sz="4" w:space="0"/>
              <w:left w:val="nil"/>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Arial Narrow" w:hAnsi="Arial Narrow" w:cs="Arial Narrow" w:eastAsiaTheme="minorEastAsia"/>
                <w:sz w:val="20"/>
                <w:szCs w:val="20"/>
              </w:rPr>
              <w:t>10</w:t>
            </w:r>
          </w:p>
        </w:tc>
        <w:tc>
          <w:tcPr>
            <w:tcW w:w="2410" w:type="dxa"/>
            <w:tcBorders>
              <w:top w:val="single" w:color="auto" w:sz="4" w:space="0"/>
              <w:left w:val="nil"/>
              <w:bottom w:val="nil"/>
              <w:right w:val="single" w:color="auto" w:sz="4" w:space="0"/>
            </w:tcBorders>
            <w:vAlign w:val="center"/>
          </w:tcPr>
          <w:p>
            <w:pP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服务对象满意度</w:t>
            </w:r>
          </w:p>
        </w:tc>
        <w:tc>
          <w:tcPr>
            <w:tcW w:w="70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ascii="Arial Narrow" w:hAnsi="Arial Narrow" w:cs="Arial Narrow" w:eastAsiaTheme="minorEastAsia"/>
                <w:sz w:val="20"/>
                <w:szCs w:val="20"/>
              </w:rPr>
              <w:t>10</w:t>
            </w:r>
          </w:p>
        </w:tc>
        <w:tc>
          <w:tcPr>
            <w:tcW w:w="6975" w:type="dxa"/>
            <w:tcBorders>
              <w:top w:val="single" w:color="auto" w:sz="4" w:space="0"/>
              <w:left w:val="nil"/>
              <w:bottom w:val="nil"/>
              <w:right w:val="single" w:color="auto" w:sz="4" w:space="0"/>
            </w:tcBorders>
            <w:vAlign w:val="center"/>
          </w:tcPr>
          <w:p>
            <w:pPr>
              <w:widowControl/>
              <w:jc w:val="left"/>
              <w:rPr>
                <w:rFonts w:asciiTheme="minorEastAsia" w:hAnsiTheme="minorEastAsia" w:eastAsiaTheme="minorEastAsia" w:cstheme="minorEastAsia"/>
                <w:kern w:val="0"/>
                <w:sz w:val="20"/>
                <w:szCs w:val="20"/>
                <w:highlight w:val="yellow"/>
              </w:rPr>
            </w:pPr>
            <w:r>
              <w:rPr>
                <w:rFonts w:hint="eastAsia" w:asciiTheme="minorEastAsia" w:hAnsiTheme="minorEastAsia" w:eastAsiaTheme="minorEastAsia" w:cstheme="minorEastAsia"/>
                <w:kern w:val="0"/>
                <w:sz w:val="20"/>
                <w:szCs w:val="20"/>
              </w:rPr>
              <w:t>满意度95%以上10分，每低5%扣1分，低于60分不得分。</w:t>
            </w:r>
          </w:p>
        </w:tc>
        <w:tc>
          <w:tcPr>
            <w:tcW w:w="821" w:type="dxa"/>
            <w:tcBorders>
              <w:top w:val="single" w:color="auto" w:sz="4" w:space="0"/>
              <w:left w:val="nil"/>
              <w:bottom w:val="nil"/>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6</w:t>
            </w:r>
          </w:p>
        </w:tc>
      </w:tr>
      <w:tr>
        <w:tblPrEx>
          <w:tblCellMar>
            <w:top w:w="0" w:type="dxa"/>
            <w:left w:w="108" w:type="dxa"/>
            <w:bottom w:w="0" w:type="dxa"/>
            <w:right w:w="108" w:type="dxa"/>
          </w:tblCellMar>
        </w:tblPrEx>
        <w:trPr>
          <w:trHeight w:val="340" w:hRule="exact"/>
        </w:trPr>
        <w:tc>
          <w:tcPr>
            <w:tcW w:w="95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709"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Theme="minorEastAsia" w:hAnsiTheme="minorEastAsia" w:eastAsiaTheme="minorEastAsia" w:cstheme="minorEastAsia"/>
                <w:kern w:val="0"/>
                <w:sz w:val="20"/>
                <w:szCs w:val="20"/>
              </w:rPr>
            </w:pPr>
          </w:p>
        </w:tc>
        <w:tc>
          <w:tcPr>
            <w:tcW w:w="1134" w:type="dxa"/>
            <w:tcBorders>
              <w:top w:val="single" w:color="auto" w:sz="4" w:space="0"/>
              <w:left w:val="nil"/>
              <w:bottom w:val="nil"/>
              <w:right w:val="single" w:color="auto" w:sz="4" w:space="0"/>
            </w:tcBorders>
          </w:tcPr>
          <w:p>
            <w:pPr>
              <w:spacing w:after="156" w:afterLines="50"/>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18"/>
                <w:szCs w:val="18"/>
              </w:rPr>
              <w:t>可持续影</w:t>
            </w:r>
            <w:r>
              <w:rPr>
                <w:rFonts w:hint="eastAsia" w:asciiTheme="minorEastAsia" w:hAnsiTheme="minorEastAsia" w:eastAsiaTheme="minorEastAsia" w:cstheme="minorEastAsia"/>
                <w:kern w:val="0"/>
                <w:sz w:val="20"/>
                <w:szCs w:val="20"/>
              </w:rPr>
              <w:t>响</w:t>
            </w:r>
          </w:p>
        </w:tc>
        <w:tc>
          <w:tcPr>
            <w:tcW w:w="708" w:type="dxa"/>
            <w:tcBorders>
              <w:top w:val="nil"/>
              <w:left w:val="nil"/>
              <w:bottom w:val="single" w:color="auto" w:sz="4" w:space="0"/>
              <w:right w:val="single" w:color="auto" w:sz="4" w:space="0"/>
            </w:tcBorders>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6</w:t>
            </w:r>
          </w:p>
        </w:tc>
        <w:tc>
          <w:tcPr>
            <w:tcW w:w="2410" w:type="dxa"/>
            <w:tcBorders>
              <w:top w:val="single" w:color="auto" w:sz="4" w:space="0"/>
              <w:left w:val="nil"/>
              <w:bottom w:val="nil"/>
              <w:right w:val="single" w:color="auto" w:sz="4" w:space="0"/>
            </w:tcBorders>
            <w:vAlign w:val="center"/>
          </w:tcPr>
          <w:p>
            <w:pP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长效管理情况</w:t>
            </w:r>
          </w:p>
        </w:tc>
        <w:tc>
          <w:tcPr>
            <w:tcW w:w="70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cstheme="minorEastAsia"/>
                <w:kern w:val="0"/>
                <w:sz w:val="20"/>
                <w:szCs w:val="20"/>
              </w:rPr>
            </w:pPr>
            <w:r>
              <w:rPr>
                <w:rFonts w:hint="eastAsia" w:ascii="Arial Narrow" w:hAnsi="Arial Narrow" w:cs="Arial Narrow" w:eastAsiaTheme="minorEastAsia"/>
                <w:sz w:val="20"/>
                <w:szCs w:val="20"/>
              </w:rPr>
              <w:t>6</w:t>
            </w:r>
          </w:p>
        </w:tc>
        <w:tc>
          <w:tcPr>
            <w:tcW w:w="6975" w:type="dxa"/>
            <w:tcBorders>
              <w:top w:val="single" w:color="auto" w:sz="4" w:space="0"/>
              <w:left w:val="nil"/>
              <w:bottom w:val="nil"/>
              <w:right w:val="single" w:color="auto" w:sz="4" w:space="0"/>
            </w:tcBorders>
            <w:vAlign w:val="center"/>
          </w:tcPr>
          <w:p>
            <w:pPr>
              <w:widowControl/>
              <w:jc w:val="left"/>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建立了维持项目发展的后续制度得3分；后续维护费用已落实，得3分。</w:t>
            </w:r>
          </w:p>
        </w:tc>
        <w:tc>
          <w:tcPr>
            <w:tcW w:w="821" w:type="dxa"/>
            <w:tcBorders>
              <w:top w:val="single" w:color="auto" w:sz="4" w:space="0"/>
              <w:left w:val="nil"/>
              <w:bottom w:val="nil"/>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3</w:t>
            </w:r>
          </w:p>
        </w:tc>
      </w:tr>
      <w:tr>
        <w:tblPrEx>
          <w:tblCellMar>
            <w:top w:w="0" w:type="dxa"/>
            <w:left w:w="108" w:type="dxa"/>
            <w:bottom w:w="0" w:type="dxa"/>
            <w:right w:w="108" w:type="dxa"/>
          </w:tblCellMar>
        </w:tblPrEx>
        <w:trPr>
          <w:trHeight w:val="340" w:hRule="exact"/>
        </w:trPr>
        <w:tc>
          <w:tcPr>
            <w:tcW w:w="9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合计</w:t>
            </w:r>
          </w:p>
        </w:tc>
        <w:tc>
          <w:tcPr>
            <w:tcW w:w="709" w:type="dxa"/>
            <w:tcBorders>
              <w:top w:val="single" w:color="auto" w:sz="4" w:space="0"/>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ascii="Arial Narrow" w:hAnsi="Arial Narrow" w:cs="Arial Narrow" w:eastAsiaTheme="minorEastAsia"/>
                <w:sz w:val="20"/>
                <w:szCs w:val="20"/>
              </w:rPr>
              <w:t>100</w:t>
            </w:r>
          </w:p>
        </w:tc>
        <w:tc>
          <w:tcPr>
            <w:tcW w:w="1134" w:type="dxa"/>
            <w:tcBorders>
              <w:top w:val="single" w:color="auto" w:sz="4" w:space="0"/>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　</w:t>
            </w:r>
          </w:p>
        </w:tc>
        <w:tc>
          <w:tcPr>
            <w:tcW w:w="708"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ascii="Arial Narrow" w:hAnsi="Arial Narrow" w:cs="Arial Narrow" w:eastAsiaTheme="minorEastAsia"/>
                <w:sz w:val="20"/>
                <w:szCs w:val="20"/>
              </w:rPr>
              <w:t>100</w:t>
            </w:r>
          </w:p>
        </w:tc>
        <w:tc>
          <w:tcPr>
            <w:tcW w:w="2410" w:type="dxa"/>
            <w:tcBorders>
              <w:top w:val="single" w:color="auto" w:sz="4" w:space="0"/>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　</w:t>
            </w:r>
          </w:p>
        </w:tc>
        <w:tc>
          <w:tcPr>
            <w:tcW w:w="709" w:type="dxa"/>
            <w:tcBorders>
              <w:top w:val="nil"/>
              <w:left w:val="nil"/>
              <w:bottom w:val="single" w:color="auto" w:sz="4" w:space="0"/>
              <w:right w:val="single" w:color="auto" w:sz="4" w:space="0"/>
            </w:tcBorders>
            <w:vAlign w:val="center"/>
          </w:tcPr>
          <w:p>
            <w:pPr>
              <w:jc w:val="center"/>
              <w:rPr>
                <w:rFonts w:ascii="Arial Narrow" w:hAnsi="Arial Narrow" w:cs="Arial Narrow" w:eastAsiaTheme="minorEastAsia"/>
                <w:sz w:val="20"/>
                <w:szCs w:val="20"/>
              </w:rPr>
            </w:pPr>
            <w:r>
              <w:rPr>
                <w:rFonts w:ascii="Arial Narrow" w:hAnsi="Arial Narrow" w:cs="Arial Narrow" w:eastAsiaTheme="minorEastAsia"/>
                <w:sz w:val="20"/>
                <w:szCs w:val="20"/>
              </w:rPr>
              <w:t>100</w:t>
            </w:r>
          </w:p>
        </w:tc>
        <w:tc>
          <w:tcPr>
            <w:tcW w:w="6975" w:type="dxa"/>
            <w:tcBorders>
              <w:top w:val="single" w:color="auto" w:sz="4" w:space="0"/>
              <w:left w:val="nil"/>
              <w:bottom w:val="single" w:color="auto" w:sz="4" w:space="0"/>
              <w:right w:val="single" w:color="auto" w:sz="4" w:space="0"/>
            </w:tcBorders>
            <w:noWrap/>
            <w:vAlign w:val="center"/>
          </w:tcPr>
          <w:p>
            <w:pPr>
              <w:jc w:val="center"/>
              <w:rPr>
                <w:rFonts w:ascii="Arial Narrow" w:hAnsi="Arial Narrow" w:cs="Arial Narrow" w:eastAsiaTheme="minorEastAsia"/>
                <w:sz w:val="20"/>
                <w:szCs w:val="20"/>
              </w:rPr>
            </w:pPr>
            <w:r>
              <w:rPr>
                <w:rFonts w:hint="eastAsia" w:ascii="Arial Narrow" w:hAnsi="Arial Narrow" w:cs="Arial Narrow" w:eastAsiaTheme="minorEastAsia"/>
                <w:sz w:val="20"/>
                <w:szCs w:val="20"/>
              </w:rPr>
              <w:t>　</w:t>
            </w:r>
          </w:p>
        </w:tc>
        <w:tc>
          <w:tcPr>
            <w:tcW w:w="821"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ascii="Arial Narrow" w:hAnsi="Arial Narrow" w:cs="Arial Narrow" w:eastAsiaTheme="minorEastAsia"/>
                <w:kern w:val="0"/>
                <w:sz w:val="20"/>
                <w:szCs w:val="20"/>
              </w:rPr>
            </w:pPr>
            <w:r>
              <w:rPr>
                <w:rFonts w:hint="eastAsia" w:ascii="Arial Narrow" w:hAnsi="Arial Narrow" w:cs="Arial Narrow" w:eastAsiaTheme="minorEastAsia"/>
                <w:kern w:val="0"/>
                <w:sz w:val="20"/>
                <w:szCs w:val="20"/>
              </w:rPr>
              <w:t>82</w:t>
            </w:r>
          </w:p>
        </w:tc>
      </w:tr>
    </w:tbl>
    <w:p>
      <w:pPr>
        <w:jc w:val="left"/>
        <w:outlineLvl w:val="0"/>
        <w:rPr>
          <w:b/>
          <w:bCs/>
          <w:sz w:val="24"/>
          <w:highlight w:val="yellow"/>
        </w:rPr>
      </w:pPr>
    </w:p>
    <w:p>
      <w:pPr>
        <w:jc w:val="left"/>
        <w:outlineLvl w:val="0"/>
        <w:rPr>
          <w:b/>
          <w:bCs/>
          <w:sz w:val="24"/>
          <w:highlight w:val="yellow"/>
        </w:rPr>
      </w:pPr>
    </w:p>
    <w:p>
      <w:pPr>
        <w:jc w:val="left"/>
        <w:outlineLvl w:val="0"/>
        <w:rPr>
          <w:b/>
          <w:bCs/>
          <w:sz w:val="24"/>
          <w:highlight w:val="yellow"/>
        </w:rPr>
      </w:pPr>
    </w:p>
    <w:p>
      <w:pPr>
        <w:jc w:val="left"/>
        <w:outlineLvl w:val="0"/>
        <w:rPr>
          <w:b/>
          <w:bCs/>
          <w:sz w:val="24"/>
          <w:highlight w:val="yellow"/>
        </w:rPr>
      </w:pPr>
    </w:p>
    <w:p>
      <w:pPr>
        <w:pStyle w:val="28"/>
        <w:spacing w:before="312" w:beforeLines="100"/>
        <w:ind w:firstLine="0" w:firstLineChars="0"/>
        <w:jc w:val="center"/>
        <w:rPr>
          <w:rFonts w:ascii="宋体" w:hAnsi="宋体"/>
          <w:b/>
          <w:sz w:val="28"/>
          <w:szCs w:val="28"/>
          <w:highlight w:val="yellow"/>
        </w:rPr>
        <w:sectPr>
          <w:headerReference r:id="rId10" w:type="default"/>
          <w:footerReference r:id="rId11" w:type="default"/>
          <w:pgSz w:w="16838" w:h="11906" w:orient="landscape"/>
          <w:pgMar w:top="1797" w:right="1440" w:bottom="1797" w:left="1440" w:header="851" w:footer="992" w:gutter="0"/>
          <w:cols w:space="425" w:num="1"/>
          <w:docGrid w:type="lines" w:linePitch="312" w:charSpace="0"/>
        </w:sectPr>
      </w:pPr>
    </w:p>
    <w:p>
      <w:pPr>
        <w:jc w:val="left"/>
        <w:outlineLvl w:val="0"/>
        <w:rPr>
          <w:b/>
          <w:bCs/>
          <w:sz w:val="24"/>
        </w:rPr>
      </w:pPr>
      <w:bookmarkStart w:id="28" w:name="_Toc24633812"/>
      <w:r>
        <w:rPr>
          <w:rFonts w:hint="eastAsia" w:ascii="仿宋_GB2312" w:eastAsia="仿宋_GB2312"/>
          <w:b/>
          <w:sz w:val="30"/>
          <w:szCs w:val="30"/>
        </w:rPr>
        <w:t>附件3</w:t>
      </w:r>
      <w:r>
        <w:rPr>
          <w:rFonts w:hint="eastAsia"/>
          <w:b/>
          <w:bCs/>
          <w:sz w:val="24"/>
        </w:rPr>
        <w:t xml:space="preserve">      </w:t>
      </w:r>
    </w:p>
    <w:p>
      <w:pPr>
        <w:ind w:left="2891" w:hanging="2891" w:hangingChars="800"/>
        <w:jc w:val="center"/>
        <w:outlineLvl w:val="0"/>
        <w:rPr>
          <w:b/>
          <w:sz w:val="36"/>
          <w:szCs w:val="36"/>
        </w:rPr>
      </w:pPr>
      <w:r>
        <w:rPr>
          <w:rFonts w:hint="eastAsia"/>
          <w:b/>
          <w:sz w:val="36"/>
          <w:szCs w:val="36"/>
        </w:rPr>
        <w:t>南山生态修复荒滩绿化项目满意度</w:t>
      </w:r>
    </w:p>
    <w:p>
      <w:pPr>
        <w:ind w:left="2891" w:hanging="2891" w:hangingChars="800"/>
        <w:jc w:val="center"/>
        <w:outlineLvl w:val="0"/>
        <w:rPr>
          <w:b/>
          <w:sz w:val="36"/>
          <w:szCs w:val="36"/>
        </w:rPr>
      </w:pPr>
      <w:r>
        <w:rPr>
          <w:rFonts w:hint="eastAsia"/>
          <w:b/>
          <w:sz w:val="36"/>
          <w:szCs w:val="36"/>
        </w:rPr>
        <w:t>问卷调查报告</w:t>
      </w:r>
      <w:bookmarkEnd w:id="28"/>
    </w:p>
    <w:p>
      <w:pPr>
        <w:pStyle w:val="28"/>
        <w:ind w:firstLine="600"/>
        <w:rPr>
          <w:rFonts w:ascii="黑体" w:eastAsia="黑体"/>
          <w:sz w:val="30"/>
          <w:szCs w:val="30"/>
        </w:rPr>
      </w:pPr>
      <w:r>
        <w:rPr>
          <w:rFonts w:hint="eastAsia" w:ascii="黑体" w:eastAsia="黑体"/>
          <w:sz w:val="30"/>
          <w:szCs w:val="30"/>
        </w:rPr>
        <w:t>一、调查背景</w:t>
      </w:r>
    </w:p>
    <w:p>
      <w:pPr>
        <w:spacing w:line="6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为了了解南山生态修复荒滩绿化项目资金的使用及效益，我们组织了本次问卷调查。</w:t>
      </w:r>
    </w:p>
    <w:p>
      <w:pPr>
        <w:pStyle w:val="28"/>
        <w:ind w:firstLine="600"/>
        <w:rPr>
          <w:rFonts w:ascii="黑体" w:eastAsia="黑体"/>
          <w:sz w:val="30"/>
          <w:szCs w:val="30"/>
        </w:rPr>
      </w:pPr>
      <w:r>
        <w:rPr>
          <w:rFonts w:hint="eastAsia" w:ascii="黑体" w:eastAsia="黑体"/>
          <w:sz w:val="30"/>
          <w:szCs w:val="30"/>
        </w:rPr>
        <w:t>二、调查目的</w:t>
      </w:r>
    </w:p>
    <w:p>
      <w:pPr>
        <w:spacing w:line="6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经过问卷调查，我们将根据问卷调查结果通过具体细致的数据分析，深层次剖析本项目的实际完成情况以及存在的问题，最后经过统计确定服务对象满意度分值。</w:t>
      </w:r>
    </w:p>
    <w:p>
      <w:pPr>
        <w:pStyle w:val="28"/>
        <w:ind w:firstLine="600"/>
        <w:rPr>
          <w:rFonts w:ascii="黑体" w:eastAsia="黑体"/>
          <w:sz w:val="30"/>
          <w:szCs w:val="30"/>
        </w:rPr>
      </w:pPr>
      <w:r>
        <w:rPr>
          <w:rFonts w:hint="eastAsia" w:ascii="黑体" w:eastAsia="黑体"/>
          <w:sz w:val="30"/>
          <w:szCs w:val="30"/>
        </w:rPr>
        <w:t>三、问卷发放</w:t>
      </w:r>
      <w:r>
        <w:rPr>
          <w:rFonts w:ascii="黑体" w:eastAsia="黑体"/>
          <w:sz w:val="30"/>
          <w:szCs w:val="30"/>
        </w:rPr>
        <w:t>/</w:t>
      </w:r>
      <w:r>
        <w:rPr>
          <w:rFonts w:hint="eastAsia" w:ascii="黑体" w:eastAsia="黑体"/>
          <w:sz w:val="30"/>
          <w:szCs w:val="30"/>
        </w:rPr>
        <w:t>回收情况</w:t>
      </w:r>
    </w:p>
    <w:p>
      <w:pPr>
        <w:spacing w:line="600" w:lineRule="exact"/>
        <w:ind w:firstLine="600" w:firstLineChars="200"/>
        <w:rPr>
          <w:rFonts w:ascii="??_GB2312" w:hAnsi="宋体" w:cs="??_GB2312" w:eastAsiaTheme="minorEastAsia"/>
          <w:kern w:val="0"/>
          <w:sz w:val="24"/>
        </w:rPr>
      </w:pPr>
      <w:r>
        <w:rPr>
          <w:rFonts w:hint="eastAsia" w:ascii="仿宋_GB2312" w:hAnsi="宋体" w:eastAsia="仿宋_GB2312" w:cs="仿宋_GB2312"/>
          <w:kern w:val="0"/>
          <w:sz w:val="30"/>
          <w:szCs w:val="30"/>
        </w:rPr>
        <w:t>本次问卷调查面向南山生态修复荒滩绿化项目所在地周边群众，共发放调查问卷120份，120份全部收回，均为有效问卷。</w:t>
      </w:r>
    </w:p>
    <w:p>
      <w:pPr>
        <w:pStyle w:val="28"/>
        <w:ind w:firstLine="600"/>
        <w:rPr>
          <w:rFonts w:ascii="黑体" w:eastAsia="黑体"/>
          <w:sz w:val="30"/>
          <w:szCs w:val="30"/>
        </w:rPr>
      </w:pPr>
      <w:r>
        <w:rPr>
          <w:rFonts w:hint="eastAsia" w:ascii="黑体" w:eastAsia="黑体"/>
          <w:sz w:val="30"/>
          <w:szCs w:val="30"/>
        </w:rPr>
        <w:t>四、调查结果分析</w:t>
      </w:r>
    </w:p>
    <w:p>
      <w:pPr>
        <w:spacing w:line="6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（一）项目实施后，周边气候改善情况</w:t>
      </w:r>
    </w:p>
    <w:p>
      <w:pPr>
        <w:spacing w:line="600" w:lineRule="exact"/>
        <w:ind w:firstLine="600" w:firstLineChars="200"/>
        <w:rPr>
          <w:rFonts w:ascii="仿宋_GB2312" w:hAnsi="宋体" w:eastAsia="仿宋_GB2312" w:cs="仿宋_GB2312"/>
          <w:kern w:val="0"/>
          <w:sz w:val="30"/>
          <w:szCs w:val="30"/>
        </w:rPr>
      </w:pPr>
      <w:r>
        <w:rPr>
          <w:rFonts w:ascii="仿宋_GB2312" w:hAnsi="宋体" w:eastAsia="仿宋_GB2312" w:cs="仿宋_GB2312"/>
          <w:kern w:val="0"/>
          <w:sz w:val="30"/>
          <w:szCs w:val="30"/>
        </w:rPr>
        <w:t>发放的</w:t>
      </w:r>
      <w:r>
        <w:rPr>
          <w:rFonts w:hint="eastAsia" w:ascii="仿宋_GB2312" w:hAnsi="宋体" w:eastAsia="仿宋_GB2312" w:cs="仿宋_GB2312"/>
          <w:kern w:val="0"/>
          <w:sz w:val="30"/>
          <w:szCs w:val="30"/>
        </w:rPr>
        <w:t>120份问卷中，56人表示气候改善非常明显，61人认为比较明显，3人认为效果一般。</w:t>
      </w:r>
    </w:p>
    <w:p>
      <w:pPr>
        <w:spacing w:line="6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（二）项目实施后，净化空气方面变化情况</w:t>
      </w:r>
    </w:p>
    <w:p>
      <w:pPr>
        <w:spacing w:line="6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发放的120份问卷中，78人表示空气净化程度非常明显，39人认为比较明显，3人认为变化不大。</w:t>
      </w:r>
    </w:p>
    <w:p>
      <w:pPr>
        <w:spacing w:line="6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（三）项目实施后，在降低噪声方面与以前相比变化情况</w:t>
      </w:r>
    </w:p>
    <w:p>
      <w:pPr>
        <w:spacing w:line="6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发放的120份问卷中，60人表示空气净化程度非常明显，59人认为比较明显，1人认为变化不大。</w:t>
      </w:r>
    </w:p>
    <w:p>
      <w:pPr>
        <w:spacing w:line="6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（四）项目实施后，在抵御风沙方面与以前变化情况</w:t>
      </w:r>
    </w:p>
    <w:p>
      <w:pPr>
        <w:spacing w:line="6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发放的120份问卷中，75人表示空气净化程度非常明显，45人认为比较明显。</w:t>
      </w:r>
    </w:p>
    <w:p>
      <w:pPr>
        <w:spacing w:line="6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（五）对南山生态修复荒滩绿化项目总体满意度</w:t>
      </w:r>
    </w:p>
    <w:p>
      <w:pPr>
        <w:spacing w:line="6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发放的120份问卷中，48人表示非常满意，72人认为比较满意。</w:t>
      </w:r>
    </w:p>
    <w:p>
      <w:pPr>
        <w:pStyle w:val="28"/>
        <w:ind w:firstLine="600"/>
        <w:rPr>
          <w:rFonts w:ascii="黑体" w:eastAsia="黑体"/>
          <w:sz w:val="30"/>
          <w:szCs w:val="30"/>
        </w:rPr>
      </w:pPr>
      <w:r>
        <w:rPr>
          <w:rFonts w:hint="eastAsia" w:ascii="黑体" w:eastAsia="黑体"/>
          <w:sz w:val="30"/>
          <w:szCs w:val="30"/>
        </w:rPr>
        <w:t>五、调查结论</w:t>
      </w:r>
    </w:p>
    <w:p>
      <w:pPr>
        <w:spacing w:line="60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南山生态修复荒滩绿化：服务对象满意度计算结果为76%。</w:t>
      </w:r>
    </w:p>
    <w:sectPr>
      <w:headerReference r:id="rId12" w:type="default"/>
      <w:footerReference r:id="rId1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270" w:firstLineChars="150"/>
      <w:jc w:val="left"/>
      <w:rPr>
        <w:rFonts w:ascii="Calibri" w:hAnsi="Calibri"/>
        <w:sz w:val="18"/>
        <w:szCs w:val="18"/>
      </w:rPr>
    </w:pPr>
    <w:r>
      <w:rPr>
        <w:rFonts w:hint="eastAsia" w:ascii="Calibri" w:hAnsi="Calibri"/>
        <w:sz w:val="18"/>
        <w:szCs w:val="18"/>
      </w:rPr>
      <w:t xml:space="preserve">  </w:t>
    </w:r>
  </w:p>
  <w:p>
    <w:pPr>
      <w:tabs>
        <w:tab w:val="center" w:pos="4153"/>
        <w:tab w:val="right" w:pos="8306"/>
      </w:tabs>
      <w:snapToGrid w:val="0"/>
      <w:jc w:val="left"/>
      <w:rPr>
        <w:rFonts w:ascii="Calibri" w:hAnsi="Calibri"/>
        <w:sz w:val="18"/>
        <w:szCs w:val="18"/>
      </w:rPr>
    </w:pPr>
    <w:r>
      <w:rPr>
        <w:rFonts w:hint="eastAsia" w:ascii="Calibri" w:hAnsi="Calibri"/>
        <w:sz w:val="18"/>
        <w:szCs w:val="18"/>
      </w:rPr>
      <w:t xml:space="preserve">    </w: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zh-CN"/>
      </w:rPr>
      <w:t xml:space="preserve">                                                                                                  </w:t>
    </w:r>
  </w:p>
  <w:p>
    <w:pPr>
      <w:pStyle w:val="9"/>
      <w:spacing w:before="120"/>
      <w:ind w:firstLine="180" w:firstLineChars="100"/>
    </w:pPr>
    <w: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101600</wp:posOffset>
              </wp:positionV>
              <wp:extent cx="5283200" cy="635"/>
              <wp:effectExtent l="0" t="0" r="0" b="0"/>
              <wp:wrapNone/>
              <wp:docPr id="2" name="直线 10"/>
              <wp:cNvGraphicFramePr/>
              <a:graphic xmlns:a="http://schemas.openxmlformats.org/drawingml/2006/main">
                <a:graphicData uri="http://schemas.microsoft.com/office/word/2010/wordprocessingShape">
                  <wps:wsp>
                    <wps:cNvSpPr/>
                    <wps:spPr>
                      <a:xfrm>
                        <a:off x="0" y="0"/>
                        <a:ext cx="528320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75pt;margin-top:8pt;height:0.05pt;width:416pt;z-index:251661312;mso-width-relative:page;mso-height-relative:page;" filled="f" stroked="t" coordsize="21600,21600" o:gfxdata="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EBSy1QAA&#10;AAcBAAAPAAAAAAAAAAEAIAAAACIAAABkcnMvZG93bnJldi54bWxQSwECFAAUAAAACACHTuJA4Pli&#10;R+gBAADeAwAADgAAAAAAAAABACAAAAAkAQAAZHJzL2Uyb0RvYy54bWxQSwUGAAAAAAYABgBZAQAA&#10;fgUAAAAA&#10;">
              <v:fill on="f" focussize="0,0"/>
              <v:stroke weight="0.25pt" color="#000000" joinstyle="round"/>
              <v:imagedata o:title=""/>
              <o:lock v:ext="edit" aspectratio="f"/>
            </v:line>
          </w:pict>
        </mc:Fallback>
      </mc:AlternateContent>
    </w:r>
    <w:r>
      <w:rPr>
        <w:rFonts w:hint="eastAsia"/>
      </w:rPr>
      <w:t xml:space="preserve"> 运城黄河会计师事务所有限公司                               联系电话：（0359）2081838</w:t>
    </w:r>
  </w:p>
  <w:p>
    <w:pPr>
      <w:pStyle w:val="9"/>
      <w:ind w:firstLine="270" w:firstLineChars="150"/>
    </w:pPr>
    <w:r>
      <mc:AlternateContent>
        <mc:Choice Requires="wps">
          <w:drawing>
            <wp:anchor distT="0" distB="0" distL="114300" distR="114300" simplePos="0" relativeHeight="251660288" behindDoc="0" locked="0" layoutInCell="1" allowOverlap="1">
              <wp:simplePos x="0" y="0"/>
              <wp:positionH relativeFrom="margin">
                <wp:posOffset>5130800</wp:posOffset>
              </wp:positionH>
              <wp:positionV relativeFrom="paragraph">
                <wp:posOffset>121920</wp:posOffset>
              </wp:positionV>
              <wp:extent cx="58420" cy="1397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left:404pt;margin-top:9.6pt;height:11pt;width:4.6pt;mso-position-horizontal-relative:margin;mso-wrap-style:none;z-index:251660288;mso-width-relative:page;mso-height-relative:page;" filled="f" stroked="f" coordsize="21600,21600" o:gfxdata="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a54pA1QAAAAkBAAAPAAAAAAAAAAEAIAAAACIAAABkcnMv&#10;ZG93bnJldi54bWxQSwECFAAUAAAACACHTuJAdVDj3M0BAACWAwAADgAAAAAAAAABACAAAAAkAQAA&#10;ZHJzL2Uyb0RvYy54bWxQSwUGAAAAAAYABgBZAQAAYwU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地址：运城市关铝花园会所三楼                               传    真：（0359）2081838</w:t>
    </w:r>
  </w:p>
  <w:p>
    <w:pPr>
      <w:pStyle w:val="9"/>
      <w:tabs>
        <w:tab w:val="left" w:pos="6002"/>
        <w:tab w:val="clear" w:pos="4153"/>
        <w:tab w:val="clear" w:pos="8306"/>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zh-CN"/>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137160</wp:posOffset>
              </wp:positionV>
              <wp:extent cx="8851900" cy="7620"/>
              <wp:effectExtent l="0" t="4445" r="0" b="6985"/>
              <wp:wrapNone/>
              <wp:docPr id="9" name="自选图形 16"/>
              <wp:cNvGraphicFramePr/>
              <a:graphic xmlns:a="http://schemas.openxmlformats.org/drawingml/2006/main">
                <a:graphicData uri="http://schemas.microsoft.com/office/word/2010/wordprocessingShape">
                  <wps:wsp>
                    <wps:cNvCnPr/>
                    <wps:spPr>
                      <a:xfrm flipV="1">
                        <a:off x="0" y="0"/>
                        <a:ext cx="8851900" cy="76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flip:y;margin-left:-1.8pt;margin-top:10.8pt;height:0.6pt;width:697pt;z-index:251667456;mso-width-relative:page;mso-height-relative:page;" filled="f" stroked="t" coordsize="21600,21600" o:gfxdata="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vQjJXXAAAACQEAAA8AAAAAAAAAAQAgAAAAIgAAAGRycy9kb3du&#10;cmV2LnhtbFBLAQIUABQAAAAIAIdO4kBpLPmRAAIAAPEDAAAOAAAAAAAAAAEAIAAAACYBAABkcnMv&#10;ZTJvRG9jLnhtbFBLBQYAAAAABgAGAFkBAACYBQAAAAA=&#10;">
              <v:fill on="f" focussize="0,0"/>
              <v:stroke color="#000000" joinstyle="round"/>
              <v:imagedata o:title=""/>
              <o:lock v:ext="edit" aspectratio="f"/>
            </v:shape>
          </w:pict>
        </mc:Fallback>
      </mc:AlternateContent>
    </w:r>
    <w:r>
      <w:rPr>
        <w:lang w:val="zh-CN"/>
      </w:rPr>
      <w:t xml:space="preserve">                                                                                                  </w:t>
    </w:r>
  </w:p>
  <w:p>
    <w:pPr>
      <w:pStyle w:val="9"/>
      <w:spacing w:before="120"/>
      <w:ind w:firstLine="180" w:firstLineChars="100"/>
    </w:pPr>
    <w:r>
      <w:rPr>
        <w:rFonts w:hint="eastAsia"/>
      </w:rPr>
      <w:t xml:space="preserve"> 运城黄河会计师事务所有限公司                              </w:t>
    </w:r>
    <w:r>
      <w:t xml:space="preserve">                                                             </w:t>
    </w:r>
    <w:r>
      <w:rPr>
        <w:rFonts w:hint="eastAsia"/>
      </w:rPr>
      <w:t xml:space="preserve"> 联系电话：（0359）2081838</w:t>
    </w:r>
  </w:p>
  <w:p>
    <w:pPr>
      <w:pStyle w:val="9"/>
      <w:ind w:firstLine="270" w:firstLineChars="150"/>
    </w:pPr>
    <w:r>
      <w:rPr>
        <w:rFonts w:hint="eastAsia"/>
      </w:rPr>
      <w:t xml:space="preserve">地址：运城市关铝花园会所三楼                    </w:t>
    </w:r>
    <w:r>
      <w:t xml:space="preserve">                                                             </w:t>
    </w:r>
    <w:r>
      <w:rPr>
        <w:rFonts w:hint="eastAsia"/>
      </w:rPr>
      <w:t xml:space="preserve">           传    真：（0359）2081838</w:t>
    </w:r>
  </w:p>
  <w:p>
    <w:pPr>
      <w:pStyle w:val="9"/>
      <w:tabs>
        <w:tab w:val="left" w:pos="6002"/>
        <w:tab w:val="clear" w:pos="4153"/>
        <w:tab w:val="clear" w:pos="8306"/>
      </w:tabs>
    </w:pPr>
    <w:r>
      <mc:AlternateContent>
        <mc:Choice Requires="wps">
          <w:drawing>
            <wp:anchor distT="0" distB="0" distL="114300" distR="114300" simplePos="0" relativeHeight="251666432" behindDoc="0" locked="0" layoutInCell="1" allowOverlap="1">
              <wp:simplePos x="0" y="0"/>
              <wp:positionH relativeFrom="margin">
                <wp:posOffset>4370070</wp:posOffset>
              </wp:positionH>
              <wp:positionV relativeFrom="paragraph">
                <wp:posOffset>19685</wp:posOffset>
              </wp:positionV>
              <wp:extent cx="116205" cy="139700"/>
              <wp:effectExtent l="0" t="0" r="0" b="0"/>
              <wp:wrapNone/>
              <wp:docPr id="8" name="文本框 14"/>
              <wp:cNvGraphicFramePr/>
              <a:graphic xmlns:a="http://schemas.openxmlformats.org/drawingml/2006/main">
                <a:graphicData uri="http://schemas.microsoft.com/office/word/2010/wordprocessingShape">
                  <wps:wsp>
                    <wps:cNvSpPr txBox="1"/>
                    <wps:spPr>
                      <a:xfrm>
                        <a:off x="0" y="0"/>
                        <a:ext cx="116205" cy="1397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left:344.1pt;margin-top:1.55pt;height:11pt;width:9.15pt;mso-position-horizontal-relative:margin;mso-wrap-style:none;z-index:251666432;mso-width-relative:page;mso-height-relative:page;" filled="f" stroked="f" coordsize="21600,21600" o:gfxdata="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&#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XlXMnVAAAACAEAAA8AAAAAAAAAAQAgAAAAIgAAAGRy&#10;cy9kb3ducmV2LnhtbFBLAQIUABQAAAAIAIdO4kA1g+tTzwEAAJgDAAAOAAAAAAAAAAEAIAAAACQB&#10;AABkcnMvZTJvRG9jLnhtbFBLBQYAAAAABgAGAFkBAABl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36</w:t>
                    </w:r>
                    <w:r>
                      <w:rPr>
                        <w:rFonts w:hint="eastAsia"/>
                      </w:rPr>
                      <w:fldChar w:fldCharType="end"/>
                    </w:r>
                  </w:p>
                </w:txbxContent>
              </v:textbox>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zh-CN"/>
      </w:rPr>
      <w:t xml:space="preserve">                                                                                                  </w:t>
    </w:r>
  </w:p>
  <w:p>
    <w:pPr>
      <w:pStyle w:val="9"/>
      <w:spacing w:before="120"/>
      <w:ind w:firstLine="180" w:firstLineChars="100"/>
    </w:pPr>
    <w:r>
      <mc:AlternateContent>
        <mc:Choice Requires="wps">
          <w:drawing>
            <wp:anchor distT="0" distB="0" distL="114300" distR="114300" simplePos="0" relativeHeight="251665408" behindDoc="0" locked="0" layoutInCell="1" allowOverlap="1">
              <wp:simplePos x="0" y="0"/>
              <wp:positionH relativeFrom="column">
                <wp:posOffset>-13970</wp:posOffset>
              </wp:positionH>
              <wp:positionV relativeFrom="paragraph">
                <wp:posOffset>72390</wp:posOffset>
              </wp:positionV>
              <wp:extent cx="5283200" cy="635"/>
              <wp:effectExtent l="0" t="0" r="0" b="0"/>
              <wp:wrapNone/>
              <wp:docPr id="7" name="直线 13"/>
              <wp:cNvGraphicFramePr/>
              <a:graphic xmlns:a="http://schemas.openxmlformats.org/drawingml/2006/main">
                <a:graphicData uri="http://schemas.microsoft.com/office/word/2010/wordprocessingShape">
                  <wps:wsp>
                    <wps:cNvSpPr/>
                    <wps:spPr>
                      <a:xfrm>
                        <a:off x="0" y="0"/>
                        <a:ext cx="528320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1.1pt;margin-top:5.7pt;height:0.05pt;width:416pt;z-index:251665408;mso-width-relative:page;mso-height-relative:page;" filled="f" stroked="t" coordsize="21600,21600" o:gfxdata="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SNDK&#10;2AAAAAgBAAAPAAAAAAAAAAEAIAAAACIAAABkcnMvZG93bnJldi54bWxQSwECFAAUAAAACACHTuJA&#10;JB/re+gBAADeAwAADgAAAAAAAAABACAAAAAnAQAAZHJzL2Uyb0RvYy54bWxQSwUGAAAAAAYABgBZ&#10;AQAAgQUAAAAA&#10;">
              <v:fill on="f" focussize="0,0"/>
              <v:stroke weight="0.25pt" color="#000000" joinstyle="round"/>
              <v:imagedata o:title=""/>
              <o:lock v:ext="edit" aspectratio="f"/>
            </v:line>
          </w:pict>
        </mc:Fallback>
      </mc:AlternateContent>
    </w:r>
    <w:r>
      <w:rPr>
        <w:rFonts w:hint="eastAsia"/>
      </w:rPr>
      <w:t xml:space="preserve"> 运城黄河会计师事务所有限公司                               联系电话：（0359）2081838</w:t>
    </w:r>
  </w:p>
  <w:p>
    <w:pPr>
      <w:pStyle w:val="9"/>
      <w:ind w:firstLine="270" w:firstLineChars="150"/>
    </w:pPr>
    <w:r>
      <mc:AlternateContent>
        <mc:Choice Requires="wps">
          <w:drawing>
            <wp:anchor distT="0" distB="0" distL="114300" distR="114300" simplePos="0" relativeHeight="251664384" behindDoc="0" locked="0" layoutInCell="1" allowOverlap="1">
              <wp:simplePos x="0" y="0"/>
              <wp:positionH relativeFrom="margin">
                <wp:posOffset>5130800</wp:posOffset>
              </wp:positionH>
              <wp:positionV relativeFrom="paragraph">
                <wp:posOffset>121920</wp:posOffset>
              </wp:positionV>
              <wp:extent cx="58420" cy="1397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left:404pt;margin-top:9.6pt;height:11pt;width:4.6pt;mso-position-horizontal-relative:margin;mso-wrap-style:none;z-index:251664384;mso-width-relative:page;mso-height-relative:page;" filled="f" stroked="f" coordsize="21600,21600" o:gfxdata="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mueKQNUAAAAJAQAADwAAAAAAAAABACAAAAAiAAAAZHJz&#10;L2Rvd25yZXYueG1sUEsBAhQAFAAAAAgAh07iQGtbfbbOAQAAlwMAAA4AAAAAAAAAAQAgAAAAJAEA&#10;AGRycy9lMm9Eb2MueG1sUEsFBgAAAAAGAAYAWQEAAGQFA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37</w:t>
                    </w:r>
                    <w:r>
                      <w:rPr>
                        <w:rFonts w:hint="eastAsia"/>
                      </w:rPr>
                      <w:fldChar w:fldCharType="end"/>
                    </w:r>
                  </w:p>
                </w:txbxContent>
              </v:textbox>
            </v:shape>
          </w:pict>
        </mc:Fallback>
      </mc:AlternateContent>
    </w:r>
    <w:r>
      <w:rPr>
        <w:rFonts w:hint="eastAsia"/>
      </w:rPr>
      <w:t>地址：运城市关铝花园会所三楼                               传    真：（0359）2081838</w:t>
    </w:r>
  </w:p>
  <w:p>
    <w:pPr>
      <w:pStyle w:val="9"/>
      <w:tabs>
        <w:tab w:val="left" w:pos="6002"/>
        <w:tab w:val="clear" w:pos="4153"/>
        <w:tab w:val="clear" w:pos="8306"/>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040" w:firstLineChars="2800"/>
      <w:jc w:val="left"/>
      <w:rPr>
        <w:rFonts w:ascii="楷体_GB2312" w:eastAsia="楷体_GB2312"/>
        <w:sz w:val="24"/>
        <w:szCs w:val="24"/>
      </w:rPr>
    </w:pPr>
    <w:r>
      <w:rPr>
        <w:rFonts w:hint="eastAsia" w:ascii="宋体" w:hAnsi="宋体"/>
        <w:u w:val="single"/>
      </w:rPr>
      <w:drawing>
        <wp:anchor distT="0" distB="0" distL="114300" distR="114300" simplePos="0" relativeHeight="251659264" behindDoc="1" locked="0" layoutInCell="1" allowOverlap="1">
          <wp:simplePos x="0" y="0"/>
          <wp:positionH relativeFrom="column">
            <wp:posOffset>-12700</wp:posOffset>
          </wp:positionH>
          <wp:positionV relativeFrom="paragraph">
            <wp:posOffset>-20320</wp:posOffset>
          </wp:positionV>
          <wp:extent cx="342900" cy="333375"/>
          <wp:effectExtent l="0" t="0" r="0" b="9525"/>
          <wp:wrapNone/>
          <wp:docPr id="3" name="图片 3" descr="黄河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黄河图标"/>
                  <pic:cNvPicPr>
                    <a:picLocks noChangeAspect="1"/>
                  </pic:cNvPicPr>
                </pic:nvPicPr>
                <pic:blipFill>
                  <a:blip r:embed="rId1"/>
                  <a:stretch>
                    <a:fillRect/>
                  </a:stretch>
                </pic:blipFill>
                <pic:spPr>
                  <a:xfrm>
                    <a:off x="0" y="0"/>
                    <a:ext cx="342900" cy="333375"/>
                  </a:xfrm>
                  <a:prstGeom prst="rect">
                    <a:avLst/>
                  </a:prstGeom>
                  <a:noFill/>
                  <a:ln>
                    <a:noFill/>
                  </a:ln>
                </pic:spPr>
              </pic:pic>
            </a:graphicData>
          </a:graphic>
        </wp:anchor>
      </w:drawing>
    </w:r>
    <w:r>
      <w:rPr>
        <w:rFonts w:hint="eastAsia" w:ascii="??_GB2312" w:cs="??_GB2312"/>
        <w:kern w:val="0"/>
      </w:rPr>
      <w:t>南山生态修复荒滩绿化项目</w:t>
    </w:r>
    <w:r>
      <w:rPr>
        <w:rFonts w:ascii="??_GB2312" w:eastAsia="Times New Roman"/>
      </w:rPr>
      <w:t xml:space="preserve">绩效评价报告   </w:t>
    </w:r>
  </w:p>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10080" w:firstLineChars="5600"/>
      <w:jc w:val="left"/>
      <w:rPr>
        <w:rFonts w:ascii="楷体_GB2312" w:eastAsia="楷体_GB2312"/>
        <w:sz w:val="24"/>
        <w:szCs w:val="24"/>
      </w:rPr>
    </w:pPr>
    <w:r>
      <w:rPr>
        <w:rFonts w:hint="eastAsia" w:ascii="宋体" w:hAnsi="宋体"/>
        <w:u w:val="single"/>
      </w:rPr>
      <w:drawing>
        <wp:anchor distT="0" distB="0" distL="114300" distR="114300" simplePos="0" relativeHeight="251662336" behindDoc="1" locked="0" layoutInCell="1" allowOverlap="1">
          <wp:simplePos x="0" y="0"/>
          <wp:positionH relativeFrom="column">
            <wp:posOffset>-12700</wp:posOffset>
          </wp:positionH>
          <wp:positionV relativeFrom="paragraph">
            <wp:posOffset>-20320</wp:posOffset>
          </wp:positionV>
          <wp:extent cx="342900" cy="333375"/>
          <wp:effectExtent l="0" t="0" r="0" b="9525"/>
          <wp:wrapNone/>
          <wp:docPr id="4" name="图片 4" descr="黄河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黄河图标"/>
                  <pic:cNvPicPr>
                    <a:picLocks noChangeAspect="1"/>
                  </pic:cNvPicPr>
                </pic:nvPicPr>
                <pic:blipFill>
                  <a:blip r:embed="rId1"/>
                  <a:stretch>
                    <a:fillRect/>
                  </a:stretch>
                </pic:blipFill>
                <pic:spPr>
                  <a:xfrm>
                    <a:off x="0" y="0"/>
                    <a:ext cx="342900" cy="333375"/>
                  </a:xfrm>
                  <a:prstGeom prst="rect">
                    <a:avLst/>
                  </a:prstGeom>
                  <a:noFill/>
                  <a:ln>
                    <a:noFill/>
                  </a:ln>
                </pic:spPr>
              </pic:pic>
            </a:graphicData>
          </a:graphic>
        </wp:anchor>
      </w:drawing>
    </w:r>
    <w:r>
      <w:rPr>
        <w:rFonts w:hint="eastAsia" w:ascii="??_GB2312" w:cs="??_GB2312"/>
        <w:kern w:val="0"/>
      </w:rPr>
      <w:t>南山生态修复荒滩绿化项目</w:t>
    </w:r>
    <w:r>
      <w:rPr>
        <w:rFonts w:ascii="??_GB2312" w:eastAsia="Times New Roman"/>
      </w:rPr>
      <w:t xml:space="preserve">绩效评价报告   </w:t>
    </w:r>
  </w:p>
  <w:p>
    <w:pPr>
      <w:pStyle w:val="1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040" w:firstLineChars="2800"/>
      <w:jc w:val="left"/>
      <w:rPr>
        <w:rFonts w:ascii="楷体_GB2312" w:eastAsia="楷体_GB2312"/>
        <w:sz w:val="24"/>
        <w:szCs w:val="24"/>
      </w:rPr>
    </w:pPr>
    <w:r>
      <w:rPr>
        <w:rFonts w:hint="eastAsia" w:ascii="宋体" w:hAnsi="宋体"/>
        <w:u w:val="single"/>
      </w:rPr>
      <w:drawing>
        <wp:anchor distT="0" distB="0" distL="114300" distR="114300" simplePos="0" relativeHeight="251663360" behindDoc="1" locked="0" layoutInCell="1" allowOverlap="1">
          <wp:simplePos x="0" y="0"/>
          <wp:positionH relativeFrom="column">
            <wp:posOffset>-12700</wp:posOffset>
          </wp:positionH>
          <wp:positionV relativeFrom="paragraph">
            <wp:posOffset>-20320</wp:posOffset>
          </wp:positionV>
          <wp:extent cx="342900" cy="333375"/>
          <wp:effectExtent l="0" t="0" r="0" b="9525"/>
          <wp:wrapNone/>
          <wp:docPr id="5" name="图片 5" descr="黄河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黄河图标"/>
                  <pic:cNvPicPr>
                    <a:picLocks noChangeAspect="1"/>
                  </pic:cNvPicPr>
                </pic:nvPicPr>
                <pic:blipFill>
                  <a:blip r:embed="rId1"/>
                  <a:stretch>
                    <a:fillRect/>
                  </a:stretch>
                </pic:blipFill>
                <pic:spPr>
                  <a:xfrm>
                    <a:off x="0" y="0"/>
                    <a:ext cx="342900" cy="333375"/>
                  </a:xfrm>
                  <a:prstGeom prst="rect">
                    <a:avLst/>
                  </a:prstGeom>
                  <a:noFill/>
                  <a:ln>
                    <a:noFill/>
                  </a:ln>
                </pic:spPr>
              </pic:pic>
            </a:graphicData>
          </a:graphic>
        </wp:anchor>
      </w:drawing>
    </w:r>
    <w:r>
      <w:rPr>
        <w:rFonts w:hint="eastAsia" w:ascii="??_GB2312" w:cs="??_GB2312"/>
        <w:kern w:val="0"/>
      </w:rPr>
      <w:t>南山生态修复荒滩绿化项目</w:t>
    </w:r>
    <w:r>
      <w:rPr>
        <w:rFonts w:ascii="??_GB2312" w:eastAsia="Times New Roman"/>
      </w:rPr>
      <w:t xml:space="preserve">绩效评价报告   </w:t>
    </w:r>
  </w:p>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867F75"/>
    <w:multiLevelType w:val="multilevel"/>
    <w:tmpl w:val="2E867F75"/>
    <w:lvl w:ilvl="0" w:tentative="0">
      <w:start w:val="1"/>
      <w:numFmt w:val="decimalEnclosedCircle"/>
      <w:lvlText w:val="%1"/>
      <w:lvlJc w:val="left"/>
      <w:pPr>
        <w:ind w:left="360" w:hanging="360"/>
      </w:pPr>
      <w:rPr>
        <w:rFonts w:hint="eastAsia" w:ascii="宋体" w:hAnsi="宋体" w:eastAsia="宋体" w:cs="宋体"/>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A3D01A4"/>
    <w:multiLevelType w:val="multilevel"/>
    <w:tmpl w:val="3A3D01A4"/>
    <w:lvl w:ilvl="0" w:tentative="0">
      <w:start w:val="1"/>
      <w:numFmt w:val="decimal"/>
      <w:lvlText w:val="%1."/>
      <w:lvlJc w:val="left"/>
      <w:pPr>
        <w:ind w:left="1260" w:hanging="360"/>
      </w:pPr>
      <w:rPr>
        <w:rFonts w:hint="default"/>
      </w:r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805"/>
    <w:rsid w:val="000010ED"/>
    <w:rsid w:val="000012BA"/>
    <w:rsid w:val="0000196A"/>
    <w:rsid w:val="0000252C"/>
    <w:rsid w:val="00004183"/>
    <w:rsid w:val="0000439A"/>
    <w:rsid w:val="000067B6"/>
    <w:rsid w:val="000100ED"/>
    <w:rsid w:val="00011434"/>
    <w:rsid w:val="0001257C"/>
    <w:rsid w:val="000125A6"/>
    <w:rsid w:val="00015CA4"/>
    <w:rsid w:val="0002146C"/>
    <w:rsid w:val="00024466"/>
    <w:rsid w:val="00030089"/>
    <w:rsid w:val="000301FC"/>
    <w:rsid w:val="00031651"/>
    <w:rsid w:val="00031995"/>
    <w:rsid w:val="00031BEB"/>
    <w:rsid w:val="00031E52"/>
    <w:rsid w:val="000320C4"/>
    <w:rsid w:val="00033892"/>
    <w:rsid w:val="00034A2D"/>
    <w:rsid w:val="00036A10"/>
    <w:rsid w:val="00037782"/>
    <w:rsid w:val="00043608"/>
    <w:rsid w:val="00044349"/>
    <w:rsid w:val="00046AB6"/>
    <w:rsid w:val="00047033"/>
    <w:rsid w:val="00047562"/>
    <w:rsid w:val="000505A1"/>
    <w:rsid w:val="00051DFA"/>
    <w:rsid w:val="00055CD9"/>
    <w:rsid w:val="0006031E"/>
    <w:rsid w:val="00061581"/>
    <w:rsid w:val="00064074"/>
    <w:rsid w:val="00064BB8"/>
    <w:rsid w:val="00064FDD"/>
    <w:rsid w:val="00065F24"/>
    <w:rsid w:val="00066093"/>
    <w:rsid w:val="00070C05"/>
    <w:rsid w:val="00072D46"/>
    <w:rsid w:val="00073749"/>
    <w:rsid w:val="000765C7"/>
    <w:rsid w:val="0008054E"/>
    <w:rsid w:val="00082A69"/>
    <w:rsid w:val="00083776"/>
    <w:rsid w:val="000864F5"/>
    <w:rsid w:val="00091DE7"/>
    <w:rsid w:val="00094078"/>
    <w:rsid w:val="00095465"/>
    <w:rsid w:val="000977C7"/>
    <w:rsid w:val="00097A61"/>
    <w:rsid w:val="00097F2D"/>
    <w:rsid w:val="000A014E"/>
    <w:rsid w:val="000A2AD1"/>
    <w:rsid w:val="000A3A27"/>
    <w:rsid w:val="000A4308"/>
    <w:rsid w:val="000A46C8"/>
    <w:rsid w:val="000A5847"/>
    <w:rsid w:val="000A6746"/>
    <w:rsid w:val="000A712C"/>
    <w:rsid w:val="000A72E2"/>
    <w:rsid w:val="000A79B8"/>
    <w:rsid w:val="000A7E1D"/>
    <w:rsid w:val="000B4A1E"/>
    <w:rsid w:val="000B5FD8"/>
    <w:rsid w:val="000B7782"/>
    <w:rsid w:val="000C0B14"/>
    <w:rsid w:val="000C1086"/>
    <w:rsid w:val="000C274F"/>
    <w:rsid w:val="000C417D"/>
    <w:rsid w:val="000C4DC0"/>
    <w:rsid w:val="000C7863"/>
    <w:rsid w:val="000C7992"/>
    <w:rsid w:val="000C7A08"/>
    <w:rsid w:val="000C7E2E"/>
    <w:rsid w:val="000D026E"/>
    <w:rsid w:val="000D0806"/>
    <w:rsid w:val="000D333E"/>
    <w:rsid w:val="000D3AD2"/>
    <w:rsid w:val="000D4B2C"/>
    <w:rsid w:val="000D5EC4"/>
    <w:rsid w:val="000E0934"/>
    <w:rsid w:val="000E1BF4"/>
    <w:rsid w:val="000E1C1C"/>
    <w:rsid w:val="000E3A62"/>
    <w:rsid w:val="000E42B4"/>
    <w:rsid w:val="000E58B9"/>
    <w:rsid w:val="000F03DF"/>
    <w:rsid w:val="000F10BC"/>
    <w:rsid w:val="000F1C2D"/>
    <w:rsid w:val="000F30FC"/>
    <w:rsid w:val="000F3AEB"/>
    <w:rsid w:val="000F3FC4"/>
    <w:rsid w:val="000F4946"/>
    <w:rsid w:val="000F7E9E"/>
    <w:rsid w:val="00100239"/>
    <w:rsid w:val="00101619"/>
    <w:rsid w:val="0010229F"/>
    <w:rsid w:val="00105A9D"/>
    <w:rsid w:val="00106ADE"/>
    <w:rsid w:val="00107194"/>
    <w:rsid w:val="001079CC"/>
    <w:rsid w:val="00107AD7"/>
    <w:rsid w:val="00107F64"/>
    <w:rsid w:val="00110843"/>
    <w:rsid w:val="0011208B"/>
    <w:rsid w:val="0011367E"/>
    <w:rsid w:val="00114460"/>
    <w:rsid w:val="00114766"/>
    <w:rsid w:val="00114851"/>
    <w:rsid w:val="001156C8"/>
    <w:rsid w:val="00120067"/>
    <w:rsid w:val="00120939"/>
    <w:rsid w:val="001212D1"/>
    <w:rsid w:val="00121A44"/>
    <w:rsid w:val="001223D2"/>
    <w:rsid w:val="00122A26"/>
    <w:rsid w:val="00124739"/>
    <w:rsid w:val="00125D22"/>
    <w:rsid w:val="001308F1"/>
    <w:rsid w:val="001310A7"/>
    <w:rsid w:val="00132741"/>
    <w:rsid w:val="00132834"/>
    <w:rsid w:val="00133E3A"/>
    <w:rsid w:val="0013404E"/>
    <w:rsid w:val="001358E8"/>
    <w:rsid w:val="001375E3"/>
    <w:rsid w:val="00141544"/>
    <w:rsid w:val="00142DB7"/>
    <w:rsid w:val="00145E78"/>
    <w:rsid w:val="001463E4"/>
    <w:rsid w:val="00146DF4"/>
    <w:rsid w:val="00147769"/>
    <w:rsid w:val="00151832"/>
    <w:rsid w:val="0015428D"/>
    <w:rsid w:val="001571C6"/>
    <w:rsid w:val="0016079D"/>
    <w:rsid w:val="00160A62"/>
    <w:rsid w:val="001628E2"/>
    <w:rsid w:val="00163125"/>
    <w:rsid w:val="00164725"/>
    <w:rsid w:val="0016530B"/>
    <w:rsid w:val="00166AC0"/>
    <w:rsid w:val="001731E2"/>
    <w:rsid w:val="001748DE"/>
    <w:rsid w:val="00177996"/>
    <w:rsid w:val="001844DA"/>
    <w:rsid w:val="001860CF"/>
    <w:rsid w:val="00190E8D"/>
    <w:rsid w:val="001939CC"/>
    <w:rsid w:val="00193B11"/>
    <w:rsid w:val="00193ED6"/>
    <w:rsid w:val="00194868"/>
    <w:rsid w:val="00194BF0"/>
    <w:rsid w:val="00195184"/>
    <w:rsid w:val="00197379"/>
    <w:rsid w:val="001A0F73"/>
    <w:rsid w:val="001A1D1E"/>
    <w:rsid w:val="001A26BD"/>
    <w:rsid w:val="001A6420"/>
    <w:rsid w:val="001A6662"/>
    <w:rsid w:val="001A7D33"/>
    <w:rsid w:val="001B1E9D"/>
    <w:rsid w:val="001C114D"/>
    <w:rsid w:val="001C162F"/>
    <w:rsid w:val="001C1883"/>
    <w:rsid w:val="001C1DE1"/>
    <w:rsid w:val="001C749A"/>
    <w:rsid w:val="001D1357"/>
    <w:rsid w:val="001D3C01"/>
    <w:rsid w:val="001D5483"/>
    <w:rsid w:val="001D664B"/>
    <w:rsid w:val="001D74CC"/>
    <w:rsid w:val="001E2136"/>
    <w:rsid w:val="001E4F83"/>
    <w:rsid w:val="001E7654"/>
    <w:rsid w:val="001F040B"/>
    <w:rsid w:val="001F0AAF"/>
    <w:rsid w:val="001F1576"/>
    <w:rsid w:val="001F17D8"/>
    <w:rsid w:val="001F2916"/>
    <w:rsid w:val="001F2A54"/>
    <w:rsid w:val="001F38CB"/>
    <w:rsid w:val="001F3F14"/>
    <w:rsid w:val="00201067"/>
    <w:rsid w:val="002019B8"/>
    <w:rsid w:val="002020E7"/>
    <w:rsid w:val="002047CC"/>
    <w:rsid w:val="0020504A"/>
    <w:rsid w:val="00210907"/>
    <w:rsid w:val="002125A3"/>
    <w:rsid w:val="00212EA0"/>
    <w:rsid w:val="00213470"/>
    <w:rsid w:val="00213F86"/>
    <w:rsid w:val="002166E2"/>
    <w:rsid w:val="002171E5"/>
    <w:rsid w:val="00217807"/>
    <w:rsid w:val="00217A83"/>
    <w:rsid w:val="00217A97"/>
    <w:rsid w:val="00220FA7"/>
    <w:rsid w:val="00221042"/>
    <w:rsid w:val="00224099"/>
    <w:rsid w:val="0022523F"/>
    <w:rsid w:val="00226560"/>
    <w:rsid w:val="0022659E"/>
    <w:rsid w:val="00230679"/>
    <w:rsid w:val="002318C6"/>
    <w:rsid w:val="002321FD"/>
    <w:rsid w:val="00232ABB"/>
    <w:rsid w:val="002351B7"/>
    <w:rsid w:val="002356FB"/>
    <w:rsid w:val="00235A61"/>
    <w:rsid w:val="00240B63"/>
    <w:rsid w:val="002429F3"/>
    <w:rsid w:val="00244F87"/>
    <w:rsid w:val="002510A5"/>
    <w:rsid w:val="002514A2"/>
    <w:rsid w:val="0025529B"/>
    <w:rsid w:val="002561F5"/>
    <w:rsid w:val="002575B7"/>
    <w:rsid w:val="00261DBD"/>
    <w:rsid w:val="002630B7"/>
    <w:rsid w:val="00263B64"/>
    <w:rsid w:val="00263CE1"/>
    <w:rsid w:val="00264395"/>
    <w:rsid w:val="002645CE"/>
    <w:rsid w:val="00265536"/>
    <w:rsid w:val="00265CB1"/>
    <w:rsid w:val="002673AB"/>
    <w:rsid w:val="0026798A"/>
    <w:rsid w:val="00270958"/>
    <w:rsid w:val="00270D2D"/>
    <w:rsid w:val="00272B6F"/>
    <w:rsid w:val="0027334B"/>
    <w:rsid w:val="00273626"/>
    <w:rsid w:val="00273BFF"/>
    <w:rsid w:val="00274115"/>
    <w:rsid w:val="002763F0"/>
    <w:rsid w:val="00276B95"/>
    <w:rsid w:val="002771F4"/>
    <w:rsid w:val="002815B4"/>
    <w:rsid w:val="002822C5"/>
    <w:rsid w:val="00284611"/>
    <w:rsid w:val="00286639"/>
    <w:rsid w:val="00286791"/>
    <w:rsid w:val="0029186E"/>
    <w:rsid w:val="00291D08"/>
    <w:rsid w:val="00294E72"/>
    <w:rsid w:val="00296164"/>
    <w:rsid w:val="00296744"/>
    <w:rsid w:val="00296F60"/>
    <w:rsid w:val="00297926"/>
    <w:rsid w:val="002A0307"/>
    <w:rsid w:val="002A0F81"/>
    <w:rsid w:val="002A2DC2"/>
    <w:rsid w:val="002A3821"/>
    <w:rsid w:val="002A3BC3"/>
    <w:rsid w:val="002B18C0"/>
    <w:rsid w:val="002B21EE"/>
    <w:rsid w:val="002B5293"/>
    <w:rsid w:val="002B7075"/>
    <w:rsid w:val="002C1466"/>
    <w:rsid w:val="002C45C6"/>
    <w:rsid w:val="002C4FF1"/>
    <w:rsid w:val="002C56D3"/>
    <w:rsid w:val="002C5A16"/>
    <w:rsid w:val="002C5A96"/>
    <w:rsid w:val="002C671E"/>
    <w:rsid w:val="002E4D42"/>
    <w:rsid w:val="002E6809"/>
    <w:rsid w:val="002E6B18"/>
    <w:rsid w:val="002E6D69"/>
    <w:rsid w:val="002F01CB"/>
    <w:rsid w:val="002F05D5"/>
    <w:rsid w:val="002F079C"/>
    <w:rsid w:val="002F2C23"/>
    <w:rsid w:val="002F4B2C"/>
    <w:rsid w:val="003000D9"/>
    <w:rsid w:val="00300463"/>
    <w:rsid w:val="0030220B"/>
    <w:rsid w:val="00305825"/>
    <w:rsid w:val="0030668A"/>
    <w:rsid w:val="00307BDB"/>
    <w:rsid w:val="00310593"/>
    <w:rsid w:val="003137D7"/>
    <w:rsid w:val="0031390A"/>
    <w:rsid w:val="003143EB"/>
    <w:rsid w:val="0031678B"/>
    <w:rsid w:val="00316C97"/>
    <w:rsid w:val="00317AC2"/>
    <w:rsid w:val="003221FA"/>
    <w:rsid w:val="00322810"/>
    <w:rsid w:val="003246F2"/>
    <w:rsid w:val="003256CE"/>
    <w:rsid w:val="00326A30"/>
    <w:rsid w:val="00326E58"/>
    <w:rsid w:val="00326FF4"/>
    <w:rsid w:val="00327255"/>
    <w:rsid w:val="00327C35"/>
    <w:rsid w:val="00331284"/>
    <w:rsid w:val="00331B54"/>
    <w:rsid w:val="003323C5"/>
    <w:rsid w:val="00332C15"/>
    <w:rsid w:val="00333A25"/>
    <w:rsid w:val="00333EC8"/>
    <w:rsid w:val="00334DF0"/>
    <w:rsid w:val="00342D32"/>
    <w:rsid w:val="00343346"/>
    <w:rsid w:val="00343DCA"/>
    <w:rsid w:val="00344DD0"/>
    <w:rsid w:val="00345691"/>
    <w:rsid w:val="003458A6"/>
    <w:rsid w:val="00346787"/>
    <w:rsid w:val="00351765"/>
    <w:rsid w:val="00351C64"/>
    <w:rsid w:val="003537D5"/>
    <w:rsid w:val="00353828"/>
    <w:rsid w:val="00355D73"/>
    <w:rsid w:val="00355DF5"/>
    <w:rsid w:val="003573F1"/>
    <w:rsid w:val="003575A7"/>
    <w:rsid w:val="00357EC8"/>
    <w:rsid w:val="0036010C"/>
    <w:rsid w:val="00360C0D"/>
    <w:rsid w:val="003631E9"/>
    <w:rsid w:val="00365BD4"/>
    <w:rsid w:val="00370051"/>
    <w:rsid w:val="0037173C"/>
    <w:rsid w:val="00371C73"/>
    <w:rsid w:val="00371ED9"/>
    <w:rsid w:val="003729CB"/>
    <w:rsid w:val="00377884"/>
    <w:rsid w:val="00381435"/>
    <w:rsid w:val="00381F5F"/>
    <w:rsid w:val="0038247A"/>
    <w:rsid w:val="003824B5"/>
    <w:rsid w:val="00383738"/>
    <w:rsid w:val="00383C93"/>
    <w:rsid w:val="00390315"/>
    <w:rsid w:val="00395C20"/>
    <w:rsid w:val="00395F0C"/>
    <w:rsid w:val="003A408B"/>
    <w:rsid w:val="003A42C6"/>
    <w:rsid w:val="003A6B83"/>
    <w:rsid w:val="003B00C4"/>
    <w:rsid w:val="003B11AC"/>
    <w:rsid w:val="003B1E68"/>
    <w:rsid w:val="003B2D66"/>
    <w:rsid w:val="003B4539"/>
    <w:rsid w:val="003B56EF"/>
    <w:rsid w:val="003B6A81"/>
    <w:rsid w:val="003C07D5"/>
    <w:rsid w:val="003C0901"/>
    <w:rsid w:val="003C308C"/>
    <w:rsid w:val="003C3BB0"/>
    <w:rsid w:val="003C6369"/>
    <w:rsid w:val="003D0811"/>
    <w:rsid w:val="003D0EC1"/>
    <w:rsid w:val="003D4862"/>
    <w:rsid w:val="003D55F7"/>
    <w:rsid w:val="003D76D7"/>
    <w:rsid w:val="003D7936"/>
    <w:rsid w:val="003E184F"/>
    <w:rsid w:val="003E27E5"/>
    <w:rsid w:val="003E4BE5"/>
    <w:rsid w:val="003E5F40"/>
    <w:rsid w:val="003E62D4"/>
    <w:rsid w:val="003F5AB4"/>
    <w:rsid w:val="003F611B"/>
    <w:rsid w:val="004049DD"/>
    <w:rsid w:val="00404A04"/>
    <w:rsid w:val="0040574B"/>
    <w:rsid w:val="004074DF"/>
    <w:rsid w:val="00410DDB"/>
    <w:rsid w:val="0041150F"/>
    <w:rsid w:val="00413150"/>
    <w:rsid w:val="004178A4"/>
    <w:rsid w:val="004201E3"/>
    <w:rsid w:val="00421A89"/>
    <w:rsid w:val="00421D3D"/>
    <w:rsid w:val="0042248C"/>
    <w:rsid w:val="00423723"/>
    <w:rsid w:val="00423DF0"/>
    <w:rsid w:val="004249BC"/>
    <w:rsid w:val="0042621B"/>
    <w:rsid w:val="00426596"/>
    <w:rsid w:val="00426DDA"/>
    <w:rsid w:val="00427621"/>
    <w:rsid w:val="00430DEB"/>
    <w:rsid w:val="00431DD3"/>
    <w:rsid w:val="00432C61"/>
    <w:rsid w:val="004333C3"/>
    <w:rsid w:val="0043456B"/>
    <w:rsid w:val="00434D7D"/>
    <w:rsid w:val="00440CE9"/>
    <w:rsid w:val="00442D05"/>
    <w:rsid w:val="00442F6C"/>
    <w:rsid w:val="00444D5A"/>
    <w:rsid w:val="0044640B"/>
    <w:rsid w:val="004464D5"/>
    <w:rsid w:val="004502BA"/>
    <w:rsid w:val="00453714"/>
    <w:rsid w:val="00455F31"/>
    <w:rsid w:val="00460B0F"/>
    <w:rsid w:val="00461BEF"/>
    <w:rsid w:val="00461C28"/>
    <w:rsid w:val="00462D32"/>
    <w:rsid w:val="00463D9D"/>
    <w:rsid w:val="00464DB1"/>
    <w:rsid w:val="00466045"/>
    <w:rsid w:val="00467167"/>
    <w:rsid w:val="00470A02"/>
    <w:rsid w:val="00473D2A"/>
    <w:rsid w:val="004764B9"/>
    <w:rsid w:val="004803AC"/>
    <w:rsid w:val="00484407"/>
    <w:rsid w:val="00484BA8"/>
    <w:rsid w:val="00486FE9"/>
    <w:rsid w:val="00490C72"/>
    <w:rsid w:val="0049294C"/>
    <w:rsid w:val="004945F9"/>
    <w:rsid w:val="00494E53"/>
    <w:rsid w:val="00495049"/>
    <w:rsid w:val="004960F5"/>
    <w:rsid w:val="00496809"/>
    <w:rsid w:val="004A12CA"/>
    <w:rsid w:val="004A146A"/>
    <w:rsid w:val="004A2139"/>
    <w:rsid w:val="004A3373"/>
    <w:rsid w:val="004A34E0"/>
    <w:rsid w:val="004A4553"/>
    <w:rsid w:val="004A469B"/>
    <w:rsid w:val="004A4CBD"/>
    <w:rsid w:val="004A5E3D"/>
    <w:rsid w:val="004A763A"/>
    <w:rsid w:val="004A78F6"/>
    <w:rsid w:val="004B0DBF"/>
    <w:rsid w:val="004B141B"/>
    <w:rsid w:val="004B1FA5"/>
    <w:rsid w:val="004B561E"/>
    <w:rsid w:val="004C0BD5"/>
    <w:rsid w:val="004C187B"/>
    <w:rsid w:val="004C21A7"/>
    <w:rsid w:val="004C3F2C"/>
    <w:rsid w:val="004C573C"/>
    <w:rsid w:val="004C609F"/>
    <w:rsid w:val="004D485A"/>
    <w:rsid w:val="004D50BD"/>
    <w:rsid w:val="004E00D5"/>
    <w:rsid w:val="004E4622"/>
    <w:rsid w:val="004E47CB"/>
    <w:rsid w:val="004E50BB"/>
    <w:rsid w:val="004E600B"/>
    <w:rsid w:val="004F26EF"/>
    <w:rsid w:val="004F4039"/>
    <w:rsid w:val="004F5148"/>
    <w:rsid w:val="004F62F0"/>
    <w:rsid w:val="00500AF4"/>
    <w:rsid w:val="0050146E"/>
    <w:rsid w:val="005037EF"/>
    <w:rsid w:val="00504392"/>
    <w:rsid w:val="00504D97"/>
    <w:rsid w:val="0051092F"/>
    <w:rsid w:val="00512F70"/>
    <w:rsid w:val="00514B2C"/>
    <w:rsid w:val="00514E70"/>
    <w:rsid w:val="0051730D"/>
    <w:rsid w:val="005219EA"/>
    <w:rsid w:val="005223E9"/>
    <w:rsid w:val="00524D9B"/>
    <w:rsid w:val="0052628F"/>
    <w:rsid w:val="00526F28"/>
    <w:rsid w:val="00527279"/>
    <w:rsid w:val="00530537"/>
    <w:rsid w:val="00535D46"/>
    <w:rsid w:val="00536F2B"/>
    <w:rsid w:val="00537D0C"/>
    <w:rsid w:val="005401F7"/>
    <w:rsid w:val="00541748"/>
    <w:rsid w:val="00541C33"/>
    <w:rsid w:val="00544CFC"/>
    <w:rsid w:val="00545D13"/>
    <w:rsid w:val="005460A2"/>
    <w:rsid w:val="00547F34"/>
    <w:rsid w:val="00550A2B"/>
    <w:rsid w:val="00553C40"/>
    <w:rsid w:val="00553DCF"/>
    <w:rsid w:val="00553F1B"/>
    <w:rsid w:val="0055461F"/>
    <w:rsid w:val="00560FC3"/>
    <w:rsid w:val="00562304"/>
    <w:rsid w:val="00562AD3"/>
    <w:rsid w:val="00562C26"/>
    <w:rsid w:val="0056450B"/>
    <w:rsid w:val="0056785F"/>
    <w:rsid w:val="00570698"/>
    <w:rsid w:val="00570AAE"/>
    <w:rsid w:val="0057135E"/>
    <w:rsid w:val="0057279C"/>
    <w:rsid w:val="00575BDD"/>
    <w:rsid w:val="00575C10"/>
    <w:rsid w:val="00576D9C"/>
    <w:rsid w:val="0057745D"/>
    <w:rsid w:val="005778E2"/>
    <w:rsid w:val="005807B3"/>
    <w:rsid w:val="00580C58"/>
    <w:rsid w:val="005811FF"/>
    <w:rsid w:val="0058279C"/>
    <w:rsid w:val="005859EB"/>
    <w:rsid w:val="00590760"/>
    <w:rsid w:val="00590A78"/>
    <w:rsid w:val="00590B60"/>
    <w:rsid w:val="00591634"/>
    <w:rsid w:val="005928DE"/>
    <w:rsid w:val="00593023"/>
    <w:rsid w:val="00593B57"/>
    <w:rsid w:val="0059650F"/>
    <w:rsid w:val="00596908"/>
    <w:rsid w:val="00596B7A"/>
    <w:rsid w:val="005971E0"/>
    <w:rsid w:val="00597385"/>
    <w:rsid w:val="00597B90"/>
    <w:rsid w:val="005A03A4"/>
    <w:rsid w:val="005A2C61"/>
    <w:rsid w:val="005A2D4F"/>
    <w:rsid w:val="005A30F8"/>
    <w:rsid w:val="005A59D6"/>
    <w:rsid w:val="005A6064"/>
    <w:rsid w:val="005A6D66"/>
    <w:rsid w:val="005A7B13"/>
    <w:rsid w:val="005A7B9D"/>
    <w:rsid w:val="005B015F"/>
    <w:rsid w:val="005B0642"/>
    <w:rsid w:val="005B1F8E"/>
    <w:rsid w:val="005B29FD"/>
    <w:rsid w:val="005B37B9"/>
    <w:rsid w:val="005B3FD3"/>
    <w:rsid w:val="005B600B"/>
    <w:rsid w:val="005B68EF"/>
    <w:rsid w:val="005B787E"/>
    <w:rsid w:val="005C2134"/>
    <w:rsid w:val="005C31BE"/>
    <w:rsid w:val="005C398D"/>
    <w:rsid w:val="005C4077"/>
    <w:rsid w:val="005C4A34"/>
    <w:rsid w:val="005C4D8A"/>
    <w:rsid w:val="005C77A1"/>
    <w:rsid w:val="005C7D93"/>
    <w:rsid w:val="005D137A"/>
    <w:rsid w:val="005D28E7"/>
    <w:rsid w:val="005D37D8"/>
    <w:rsid w:val="005D41D9"/>
    <w:rsid w:val="005D438C"/>
    <w:rsid w:val="005D4D78"/>
    <w:rsid w:val="005D63C1"/>
    <w:rsid w:val="005E00E8"/>
    <w:rsid w:val="005E15D3"/>
    <w:rsid w:val="005E2785"/>
    <w:rsid w:val="005E51E6"/>
    <w:rsid w:val="005E6A91"/>
    <w:rsid w:val="005E79EA"/>
    <w:rsid w:val="005F12B8"/>
    <w:rsid w:val="005F1DA5"/>
    <w:rsid w:val="005F4C80"/>
    <w:rsid w:val="005F4CC9"/>
    <w:rsid w:val="005F6C18"/>
    <w:rsid w:val="006014BF"/>
    <w:rsid w:val="0060263D"/>
    <w:rsid w:val="0060287C"/>
    <w:rsid w:val="006043F8"/>
    <w:rsid w:val="006047FB"/>
    <w:rsid w:val="006056EC"/>
    <w:rsid w:val="00606B90"/>
    <w:rsid w:val="0061090B"/>
    <w:rsid w:val="006112AA"/>
    <w:rsid w:val="00614CAC"/>
    <w:rsid w:val="006154A5"/>
    <w:rsid w:val="00615B64"/>
    <w:rsid w:val="00621BC2"/>
    <w:rsid w:val="00623F5D"/>
    <w:rsid w:val="0062419C"/>
    <w:rsid w:val="0062437B"/>
    <w:rsid w:val="00626427"/>
    <w:rsid w:val="00626591"/>
    <w:rsid w:val="0063037C"/>
    <w:rsid w:val="006343E3"/>
    <w:rsid w:val="006448EB"/>
    <w:rsid w:val="00645915"/>
    <w:rsid w:val="00647B32"/>
    <w:rsid w:val="00650E2C"/>
    <w:rsid w:val="00653351"/>
    <w:rsid w:val="00655A41"/>
    <w:rsid w:val="00661744"/>
    <w:rsid w:val="006631F4"/>
    <w:rsid w:val="0066421E"/>
    <w:rsid w:val="006661C8"/>
    <w:rsid w:val="006719CA"/>
    <w:rsid w:val="006742CB"/>
    <w:rsid w:val="00674D14"/>
    <w:rsid w:val="00675DEA"/>
    <w:rsid w:val="00677534"/>
    <w:rsid w:val="00680AE6"/>
    <w:rsid w:val="00681359"/>
    <w:rsid w:val="006822A2"/>
    <w:rsid w:val="006826A7"/>
    <w:rsid w:val="00682911"/>
    <w:rsid w:val="00684721"/>
    <w:rsid w:val="00684B06"/>
    <w:rsid w:val="006860B5"/>
    <w:rsid w:val="006879FF"/>
    <w:rsid w:val="006928F7"/>
    <w:rsid w:val="00694A75"/>
    <w:rsid w:val="0069617A"/>
    <w:rsid w:val="006A3FB0"/>
    <w:rsid w:val="006A44E9"/>
    <w:rsid w:val="006A5E32"/>
    <w:rsid w:val="006A6409"/>
    <w:rsid w:val="006A717A"/>
    <w:rsid w:val="006B1FC1"/>
    <w:rsid w:val="006B286C"/>
    <w:rsid w:val="006B3B3E"/>
    <w:rsid w:val="006B7269"/>
    <w:rsid w:val="006B7963"/>
    <w:rsid w:val="006C23B6"/>
    <w:rsid w:val="006C3B6E"/>
    <w:rsid w:val="006C44C5"/>
    <w:rsid w:val="006C64C9"/>
    <w:rsid w:val="006C7543"/>
    <w:rsid w:val="006C7C66"/>
    <w:rsid w:val="006D0E1E"/>
    <w:rsid w:val="006D21DA"/>
    <w:rsid w:val="006D4846"/>
    <w:rsid w:val="006D6C89"/>
    <w:rsid w:val="006D7D5E"/>
    <w:rsid w:val="006E0648"/>
    <w:rsid w:val="006E18B9"/>
    <w:rsid w:val="006E6468"/>
    <w:rsid w:val="006E6C44"/>
    <w:rsid w:val="006E7869"/>
    <w:rsid w:val="006F18D8"/>
    <w:rsid w:val="006F31AA"/>
    <w:rsid w:val="006F42E2"/>
    <w:rsid w:val="006F4B06"/>
    <w:rsid w:val="006F5402"/>
    <w:rsid w:val="00702838"/>
    <w:rsid w:val="0070292B"/>
    <w:rsid w:val="0070329C"/>
    <w:rsid w:val="00704B5C"/>
    <w:rsid w:val="00704FCA"/>
    <w:rsid w:val="00705A40"/>
    <w:rsid w:val="00706217"/>
    <w:rsid w:val="007067B0"/>
    <w:rsid w:val="00710A6D"/>
    <w:rsid w:val="00713612"/>
    <w:rsid w:val="00713718"/>
    <w:rsid w:val="007145DA"/>
    <w:rsid w:val="00714A5B"/>
    <w:rsid w:val="00715A92"/>
    <w:rsid w:val="00715D04"/>
    <w:rsid w:val="00720911"/>
    <w:rsid w:val="0072231D"/>
    <w:rsid w:val="00722D00"/>
    <w:rsid w:val="0072780B"/>
    <w:rsid w:val="00730620"/>
    <w:rsid w:val="00732B27"/>
    <w:rsid w:val="00732C66"/>
    <w:rsid w:val="007332C5"/>
    <w:rsid w:val="00740635"/>
    <w:rsid w:val="00740BFE"/>
    <w:rsid w:val="00740E10"/>
    <w:rsid w:val="00742913"/>
    <w:rsid w:val="00744754"/>
    <w:rsid w:val="007501A6"/>
    <w:rsid w:val="00750E5A"/>
    <w:rsid w:val="0075520B"/>
    <w:rsid w:val="00755A5E"/>
    <w:rsid w:val="00760E30"/>
    <w:rsid w:val="00761701"/>
    <w:rsid w:val="00762202"/>
    <w:rsid w:val="00762EB9"/>
    <w:rsid w:val="0076488C"/>
    <w:rsid w:val="00767566"/>
    <w:rsid w:val="0077081E"/>
    <w:rsid w:val="007708D8"/>
    <w:rsid w:val="00770F39"/>
    <w:rsid w:val="00772F55"/>
    <w:rsid w:val="00772FB7"/>
    <w:rsid w:val="00773D9C"/>
    <w:rsid w:val="0077452E"/>
    <w:rsid w:val="00775537"/>
    <w:rsid w:val="007765D7"/>
    <w:rsid w:val="00776FDE"/>
    <w:rsid w:val="007773E7"/>
    <w:rsid w:val="0077761E"/>
    <w:rsid w:val="007806CA"/>
    <w:rsid w:val="00782A48"/>
    <w:rsid w:val="00783A75"/>
    <w:rsid w:val="00783DDB"/>
    <w:rsid w:val="00783F2D"/>
    <w:rsid w:val="00787988"/>
    <w:rsid w:val="007921C2"/>
    <w:rsid w:val="00792637"/>
    <w:rsid w:val="00792BD8"/>
    <w:rsid w:val="00792CD6"/>
    <w:rsid w:val="00792E10"/>
    <w:rsid w:val="0079368F"/>
    <w:rsid w:val="007952A7"/>
    <w:rsid w:val="007972F8"/>
    <w:rsid w:val="00797CE5"/>
    <w:rsid w:val="007A106F"/>
    <w:rsid w:val="007A14A7"/>
    <w:rsid w:val="007A4FEE"/>
    <w:rsid w:val="007A7BF3"/>
    <w:rsid w:val="007B2F31"/>
    <w:rsid w:val="007B4B89"/>
    <w:rsid w:val="007B56E4"/>
    <w:rsid w:val="007B5E9B"/>
    <w:rsid w:val="007B63AF"/>
    <w:rsid w:val="007B665D"/>
    <w:rsid w:val="007B6AFD"/>
    <w:rsid w:val="007B7DE3"/>
    <w:rsid w:val="007C05D1"/>
    <w:rsid w:val="007C071F"/>
    <w:rsid w:val="007C3A2F"/>
    <w:rsid w:val="007C3D79"/>
    <w:rsid w:val="007C42CA"/>
    <w:rsid w:val="007C52E6"/>
    <w:rsid w:val="007C637A"/>
    <w:rsid w:val="007D06B5"/>
    <w:rsid w:val="007D2340"/>
    <w:rsid w:val="007D2C2D"/>
    <w:rsid w:val="007D344E"/>
    <w:rsid w:val="007D7400"/>
    <w:rsid w:val="007E6C4A"/>
    <w:rsid w:val="007F26B7"/>
    <w:rsid w:val="007F4115"/>
    <w:rsid w:val="007F4ACC"/>
    <w:rsid w:val="007F6712"/>
    <w:rsid w:val="007F7B9D"/>
    <w:rsid w:val="007F7E04"/>
    <w:rsid w:val="00802DFC"/>
    <w:rsid w:val="008056A1"/>
    <w:rsid w:val="008059D4"/>
    <w:rsid w:val="00805BFE"/>
    <w:rsid w:val="00805C5B"/>
    <w:rsid w:val="00807710"/>
    <w:rsid w:val="0081019D"/>
    <w:rsid w:val="00810575"/>
    <w:rsid w:val="008153E0"/>
    <w:rsid w:val="00816537"/>
    <w:rsid w:val="00816BD9"/>
    <w:rsid w:val="008172F1"/>
    <w:rsid w:val="00817ACA"/>
    <w:rsid w:val="00817F85"/>
    <w:rsid w:val="00820BB3"/>
    <w:rsid w:val="00821F9A"/>
    <w:rsid w:val="00822BDB"/>
    <w:rsid w:val="00823C7D"/>
    <w:rsid w:val="00830436"/>
    <w:rsid w:val="00830DD8"/>
    <w:rsid w:val="00832A37"/>
    <w:rsid w:val="008350DC"/>
    <w:rsid w:val="0083576A"/>
    <w:rsid w:val="0083702D"/>
    <w:rsid w:val="00842B6E"/>
    <w:rsid w:val="0084381F"/>
    <w:rsid w:val="00845AA5"/>
    <w:rsid w:val="00846651"/>
    <w:rsid w:val="0085181C"/>
    <w:rsid w:val="00854A15"/>
    <w:rsid w:val="00855D0B"/>
    <w:rsid w:val="00856850"/>
    <w:rsid w:val="00856CE7"/>
    <w:rsid w:val="00861360"/>
    <w:rsid w:val="008614C7"/>
    <w:rsid w:val="00862463"/>
    <w:rsid w:val="008625CF"/>
    <w:rsid w:val="00862E59"/>
    <w:rsid w:val="008640B6"/>
    <w:rsid w:val="008706B9"/>
    <w:rsid w:val="00870DDF"/>
    <w:rsid w:val="0087288D"/>
    <w:rsid w:val="008747DC"/>
    <w:rsid w:val="00875306"/>
    <w:rsid w:val="00875CAC"/>
    <w:rsid w:val="00877A13"/>
    <w:rsid w:val="008809C1"/>
    <w:rsid w:val="008853CD"/>
    <w:rsid w:val="008856DF"/>
    <w:rsid w:val="00885CA7"/>
    <w:rsid w:val="00890984"/>
    <w:rsid w:val="00892B25"/>
    <w:rsid w:val="008A1D44"/>
    <w:rsid w:val="008A27CB"/>
    <w:rsid w:val="008B1187"/>
    <w:rsid w:val="008B3B4A"/>
    <w:rsid w:val="008B578C"/>
    <w:rsid w:val="008B6852"/>
    <w:rsid w:val="008B7549"/>
    <w:rsid w:val="008B7CAD"/>
    <w:rsid w:val="008C0AB9"/>
    <w:rsid w:val="008C2AED"/>
    <w:rsid w:val="008C30DC"/>
    <w:rsid w:val="008C4704"/>
    <w:rsid w:val="008C5A7B"/>
    <w:rsid w:val="008C610E"/>
    <w:rsid w:val="008C6D16"/>
    <w:rsid w:val="008D10FC"/>
    <w:rsid w:val="008D2163"/>
    <w:rsid w:val="008D588E"/>
    <w:rsid w:val="008E08E8"/>
    <w:rsid w:val="008E1061"/>
    <w:rsid w:val="008E29CC"/>
    <w:rsid w:val="008E3F1A"/>
    <w:rsid w:val="008E4970"/>
    <w:rsid w:val="008E5A5E"/>
    <w:rsid w:val="008E649B"/>
    <w:rsid w:val="008F049C"/>
    <w:rsid w:val="008F10EF"/>
    <w:rsid w:val="008F282C"/>
    <w:rsid w:val="008F5BE6"/>
    <w:rsid w:val="008F60F7"/>
    <w:rsid w:val="008F6628"/>
    <w:rsid w:val="008F7C2F"/>
    <w:rsid w:val="009109AB"/>
    <w:rsid w:val="00910E7A"/>
    <w:rsid w:val="00913032"/>
    <w:rsid w:val="00914B3E"/>
    <w:rsid w:val="0091516C"/>
    <w:rsid w:val="00915E04"/>
    <w:rsid w:val="0091678B"/>
    <w:rsid w:val="00917397"/>
    <w:rsid w:val="00917E02"/>
    <w:rsid w:val="009223DB"/>
    <w:rsid w:val="009225F3"/>
    <w:rsid w:val="00925A6E"/>
    <w:rsid w:val="00926B79"/>
    <w:rsid w:val="00926E14"/>
    <w:rsid w:val="009308D6"/>
    <w:rsid w:val="009316EE"/>
    <w:rsid w:val="00932898"/>
    <w:rsid w:val="00932F83"/>
    <w:rsid w:val="00933CCF"/>
    <w:rsid w:val="00934A4A"/>
    <w:rsid w:val="00934DF4"/>
    <w:rsid w:val="00936E06"/>
    <w:rsid w:val="009402A0"/>
    <w:rsid w:val="00942BA0"/>
    <w:rsid w:val="00942BE9"/>
    <w:rsid w:val="00943805"/>
    <w:rsid w:val="00944203"/>
    <w:rsid w:val="00944850"/>
    <w:rsid w:val="009477F4"/>
    <w:rsid w:val="00951218"/>
    <w:rsid w:val="0095202F"/>
    <w:rsid w:val="00953D0E"/>
    <w:rsid w:val="00954EA2"/>
    <w:rsid w:val="00955469"/>
    <w:rsid w:val="0096060A"/>
    <w:rsid w:val="00960985"/>
    <w:rsid w:val="00961058"/>
    <w:rsid w:val="009643CE"/>
    <w:rsid w:val="009701C4"/>
    <w:rsid w:val="00971AD7"/>
    <w:rsid w:val="00975068"/>
    <w:rsid w:val="009813B5"/>
    <w:rsid w:val="00981A17"/>
    <w:rsid w:val="00983FF0"/>
    <w:rsid w:val="00984F63"/>
    <w:rsid w:val="00986421"/>
    <w:rsid w:val="00987C31"/>
    <w:rsid w:val="009901BB"/>
    <w:rsid w:val="009908D1"/>
    <w:rsid w:val="009939DB"/>
    <w:rsid w:val="00995266"/>
    <w:rsid w:val="00996693"/>
    <w:rsid w:val="009975C4"/>
    <w:rsid w:val="00997F4E"/>
    <w:rsid w:val="009A09A7"/>
    <w:rsid w:val="009A1D6A"/>
    <w:rsid w:val="009A3FD5"/>
    <w:rsid w:val="009A4121"/>
    <w:rsid w:val="009A750E"/>
    <w:rsid w:val="009B06FA"/>
    <w:rsid w:val="009B3115"/>
    <w:rsid w:val="009B3BD6"/>
    <w:rsid w:val="009B44BD"/>
    <w:rsid w:val="009B568B"/>
    <w:rsid w:val="009B5B7B"/>
    <w:rsid w:val="009C35A1"/>
    <w:rsid w:val="009C6FC3"/>
    <w:rsid w:val="009C6FFB"/>
    <w:rsid w:val="009C7F9B"/>
    <w:rsid w:val="009D07A0"/>
    <w:rsid w:val="009D08E2"/>
    <w:rsid w:val="009D24F6"/>
    <w:rsid w:val="009D2DD6"/>
    <w:rsid w:val="009D3716"/>
    <w:rsid w:val="009D4532"/>
    <w:rsid w:val="009D4ED6"/>
    <w:rsid w:val="009D7178"/>
    <w:rsid w:val="009D793C"/>
    <w:rsid w:val="009E0CD2"/>
    <w:rsid w:val="009E1FFD"/>
    <w:rsid w:val="009E58E5"/>
    <w:rsid w:val="009E7EBF"/>
    <w:rsid w:val="009F2F00"/>
    <w:rsid w:val="009F30F7"/>
    <w:rsid w:val="009F680F"/>
    <w:rsid w:val="00A01A58"/>
    <w:rsid w:val="00A027AD"/>
    <w:rsid w:val="00A041C3"/>
    <w:rsid w:val="00A05265"/>
    <w:rsid w:val="00A0608E"/>
    <w:rsid w:val="00A10113"/>
    <w:rsid w:val="00A1024E"/>
    <w:rsid w:val="00A1212D"/>
    <w:rsid w:val="00A14460"/>
    <w:rsid w:val="00A145CC"/>
    <w:rsid w:val="00A14B42"/>
    <w:rsid w:val="00A1547E"/>
    <w:rsid w:val="00A15BA6"/>
    <w:rsid w:val="00A210CF"/>
    <w:rsid w:val="00A2199B"/>
    <w:rsid w:val="00A2371B"/>
    <w:rsid w:val="00A2438C"/>
    <w:rsid w:val="00A254FA"/>
    <w:rsid w:val="00A25C82"/>
    <w:rsid w:val="00A3020A"/>
    <w:rsid w:val="00A30AE2"/>
    <w:rsid w:val="00A31EE1"/>
    <w:rsid w:val="00A33E30"/>
    <w:rsid w:val="00A340D3"/>
    <w:rsid w:val="00A34D3F"/>
    <w:rsid w:val="00A35F8F"/>
    <w:rsid w:val="00A36204"/>
    <w:rsid w:val="00A407BD"/>
    <w:rsid w:val="00A40C1E"/>
    <w:rsid w:val="00A4117C"/>
    <w:rsid w:val="00A4322C"/>
    <w:rsid w:val="00A43B4F"/>
    <w:rsid w:val="00A43BEB"/>
    <w:rsid w:val="00A454F7"/>
    <w:rsid w:val="00A46C25"/>
    <w:rsid w:val="00A471BC"/>
    <w:rsid w:val="00A47DDF"/>
    <w:rsid w:val="00A50979"/>
    <w:rsid w:val="00A54BBD"/>
    <w:rsid w:val="00A54F1D"/>
    <w:rsid w:val="00A5594A"/>
    <w:rsid w:val="00A5728C"/>
    <w:rsid w:val="00A57E3A"/>
    <w:rsid w:val="00A57FB2"/>
    <w:rsid w:val="00A63FFE"/>
    <w:rsid w:val="00A64346"/>
    <w:rsid w:val="00A64F69"/>
    <w:rsid w:val="00A65925"/>
    <w:rsid w:val="00A65AE2"/>
    <w:rsid w:val="00A66508"/>
    <w:rsid w:val="00A665E7"/>
    <w:rsid w:val="00A671A1"/>
    <w:rsid w:val="00A671ED"/>
    <w:rsid w:val="00A70D79"/>
    <w:rsid w:val="00A70EB5"/>
    <w:rsid w:val="00A7141A"/>
    <w:rsid w:val="00A73588"/>
    <w:rsid w:val="00A73FB0"/>
    <w:rsid w:val="00A757AE"/>
    <w:rsid w:val="00A757D2"/>
    <w:rsid w:val="00A758BD"/>
    <w:rsid w:val="00A77120"/>
    <w:rsid w:val="00A77C5C"/>
    <w:rsid w:val="00A80515"/>
    <w:rsid w:val="00A81A4B"/>
    <w:rsid w:val="00A839ED"/>
    <w:rsid w:val="00A8407B"/>
    <w:rsid w:val="00A87E4A"/>
    <w:rsid w:val="00A909FF"/>
    <w:rsid w:val="00A936D0"/>
    <w:rsid w:val="00A93870"/>
    <w:rsid w:val="00A950AE"/>
    <w:rsid w:val="00A9676E"/>
    <w:rsid w:val="00AA0210"/>
    <w:rsid w:val="00AA0F19"/>
    <w:rsid w:val="00AA2AFD"/>
    <w:rsid w:val="00AA49FD"/>
    <w:rsid w:val="00AA659C"/>
    <w:rsid w:val="00AB3CF0"/>
    <w:rsid w:val="00AB566C"/>
    <w:rsid w:val="00AB631F"/>
    <w:rsid w:val="00AB7FF4"/>
    <w:rsid w:val="00AC35DB"/>
    <w:rsid w:val="00AC3E9F"/>
    <w:rsid w:val="00AC6629"/>
    <w:rsid w:val="00AD0D33"/>
    <w:rsid w:val="00AD3F8A"/>
    <w:rsid w:val="00AD445C"/>
    <w:rsid w:val="00AD5D7F"/>
    <w:rsid w:val="00AD5DEB"/>
    <w:rsid w:val="00AD6198"/>
    <w:rsid w:val="00AD6BE0"/>
    <w:rsid w:val="00AE35AB"/>
    <w:rsid w:val="00AE5D80"/>
    <w:rsid w:val="00AE5FB0"/>
    <w:rsid w:val="00AF0E1C"/>
    <w:rsid w:val="00AF2D5D"/>
    <w:rsid w:val="00AF685D"/>
    <w:rsid w:val="00B06B56"/>
    <w:rsid w:val="00B06DD0"/>
    <w:rsid w:val="00B0701B"/>
    <w:rsid w:val="00B12029"/>
    <w:rsid w:val="00B1457E"/>
    <w:rsid w:val="00B15F44"/>
    <w:rsid w:val="00B16324"/>
    <w:rsid w:val="00B16BDC"/>
    <w:rsid w:val="00B17FD0"/>
    <w:rsid w:val="00B202D9"/>
    <w:rsid w:val="00B21E92"/>
    <w:rsid w:val="00B2311A"/>
    <w:rsid w:val="00B23274"/>
    <w:rsid w:val="00B2393D"/>
    <w:rsid w:val="00B25124"/>
    <w:rsid w:val="00B2520D"/>
    <w:rsid w:val="00B27107"/>
    <w:rsid w:val="00B27D60"/>
    <w:rsid w:val="00B30353"/>
    <w:rsid w:val="00B33950"/>
    <w:rsid w:val="00B344EF"/>
    <w:rsid w:val="00B357D6"/>
    <w:rsid w:val="00B36EEC"/>
    <w:rsid w:val="00B411A3"/>
    <w:rsid w:val="00B415C3"/>
    <w:rsid w:val="00B42A4D"/>
    <w:rsid w:val="00B43827"/>
    <w:rsid w:val="00B447B7"/>
    <w:rsid w:val="00B44FF1"/>
    <w:rsid w:val="00B46289"/>
    <w:rsid w:val="00B46CBF"/>
    <w:rsid w:val="00B47F69"/>
    <w:rsid w:val="00B51544"/>
    <w:rsid w:val="00B51767"/>
    <w:rsid w:val="00B53DBC"/>
    <w:rsid w:val="00B54BB5"/>
    <w:rsid w:val="00B557F0"/>
    <w:rsid w:val="00B56466"/>
    <w:rsid w:val="00B57E49"/>
    <w:rsid w:val="00B61EB0"/>
    <w:rsid w:val="00B63E14"/>
    <w:rsid w:val="00B64111"/>
    <w:rsid w:val="00B64825"/>
    <w:rsid w:val="00B64E0D"/>
    <w:rsid w:val="00B67086"/>
    <w:rsid w:val="00B67747"/>
    <w:rsid w:val="00B70177"/>
    <w:rsid w:val="00B71980"/>
    <w:rsid w:val="00B71BD4"/>
    <w:rsid w:val="00B71EC3"/>
    <w:rsid w:val="00B738BB"/>
    <w:rsid w:val="00B74E14"/>
    <w:rsid w:val="00B77C94"/>
    <w:rsid w:val="00B82634"/>
    <w:rsid w:val="00B82CE6"/>
    <w:rsid w:val="00B97D10"/>
    <w:rsid w:val="00BA01D9"/>
    <w:rsid w:val="00BA21C7"/>
    <w:rsid w:val="00BA2D53"/>
    <w:rsid w:val="00BA3AB7"/>
    <w:rsid w:val="00BA3FF8"/>
    <w:rsid w:val="00BA67C2"/>
    <w:rsid w:val="00BB1943"/>
    <w:rsid w:val="00BB1D16"/>
    <w:rsid w:val="00BB2480"/>
    <w:rsid w:val="00BB46AF"/>
    <w:rsid w:val="00BB5050"/>
    <w:rsid w:val="00BB51B8"/>
    <w:rsid w:val="00BB552C"/>
    <w:rsid w:val="00BB61C9"/>
    <w:rsid w:val="00BB6DFB"/>
    <w:rsid w:val="00BB6F4B"/>
    <w:rsid w:val="00BB7CD0"/>
    <w:rsid w:val="00BC1907"/>
    <w:rsid w:val="00BC2705"/>
    <w:rsid w:val="00BC2A6D"/>
    <w:rsid w:val="00BC6290"/>
    <w:rsid w:val="00BC75D1"/>
    <w:rsid w:val="00BC79CC"/>
    <w:rsid w:val="00BD03BB"/>
    <w:rsid w:val="00BD24AA"/>
    <w:rsid w:val="00BD4BBD"/>
    <w:rsid w:val="00BD4F42"/>
    <w:rsid w:val="00BD5047"/>
    <w:rsid w:val="00BD6E85"/>
    <w:rsid w:val="00BE0839"/>
    <w:rsid w:val="00BE24BE"/>
    <w:rsid w:val="00BE3C50"/>
    <w:rsid w:val="00BE4C16"/>
    <w:rsid w:val="00BE4FE2"/>
    <w:rsid w:val="00BE71CE"/>
    <w:rsid w:val="00BF096F"/>
    <w:rsid w:val="00BF1995"/>
    <w:rsid w:val="00BF38D0"/>
    <w:rsid w:val="00BF4143"/>
    <w:rsid w:val="00BF6509"/>
    <w:rsid w:val="00BF6CDC"/>
    <w:rsid w:val="00C025D2"/>
    <w:rsid w:val="00C031BA"/>
    <w:rsid w:val="00C0715B"/>
    <w:rsid w:val="00C07639"/>
    <w:rsid w:val="00C10645"/>
    <w:rsid w:val="00C13624"/>
    <w:rsid w:val="00C13F02"/>
    <w:rsid w:val="00C14384"/>
    <w:rsid w:val="00C15E40"/>
    <w:rsid w:val="00C1652F"/>
    <w:rsid w:val="00C202DB"/>
    <w:rsid w:val="00C2196D"/>
    <w:rsid w:val="00C223B1"/>
    <w:rsid w:val="00C22B18"/>
    <w:rsid w:val="00C23639"/>
    <w:rsid w:val="00C2395A"/>
    <w:rsid w:val="00C321A2"/>
    <w:rsid w:val="00C352FB"/>
    <w:rsid w:val="00C35472"/>
    <w:rsid w:val="00C36880"/>
    <w:rsid w:val="00C37036"/>
    <w:rsid w:val="00C41FA7"/>
    <w:rsid w:val="00C422C3"/>
    <w:rsid w:val="00C42BEA"/>
    <w:rsid w:val="00C44A05"/>
    <w:rsid w:val="00C44E88"/>
    <w:rsid w:val="00C4760C"/>
    <w:rsid w:val="00C5101C"/>
    <w:rsid w:val="00C51C18"/>
    <w:rsid w:val="00C52704"/>
    <w:rsid w:val="00C62B63"/>
    <w:rsid w:val="00C63807"/>
    <w:rsid w:val="00C63A29"/>
    <w:rsid w:val="00C64283"/>
    <w:rsid w:val="00C6638D"/>
    <w:rsid w:val="00C66AC4"/>
    <w:rsid w:val="00C736C2"/>
    <w:rsid w:val="00C75DE0"/>
    <w:rsid w:val="00C77400"/>
    <w:rsid w:val="00C774C9"/>
    <w:rsid w:val="00C80747"/>
    <w:rsid w:val="00C8271C"/>
    <w:rsid w:val="00C82DA1"/>
    <w:rsid w:val="00C8460A"/>
    <w:rsid w:val="00C87D2E"/>
    <w:rsid w:val="00C87E18"/>
    <w:rsid w:val="00C90722"/>
    <w:rsid w:val="00C9113A"/>
    <w:rsid w:val="00C91C49"/>
    <w:rsid w:val="00C93509"/>
    <w:rsid w:val="00C9436D"/>
    <w:rsid w:val="00C94465"/>
    <w:rsid w:val="00C9647F"/>
    <w:rsid w:val="00C96CC6"/>
    <w:rsid w:val="00C9713D"/>
    <w:rsid w:val="00C97147"/>
    <w:rsid w:val="00C97498"/>
    <w:rsid w:val="00CA0DF1"/>
    <w:rsid w:val="00CA1553"/>
    <w:rsid w:val="00CA2F7B"/>
    <w:rsid w:val="00CA5018"/>
    <w:rsid w:val="00CA5736"/>
    <w:rsid w:val="00CA63D3"/>
    <w:rsid w:val="00CB0E88"/>
    <w:rsid w:val="00CB3CB3"/>
    <w:rsid w:val="00CB51AE"/>
    <w:rsid w:val="00CB5A7C"/>
    <w:rsid w:val="00CC38A2"/>
    <w:rsid w:val="00CD103F"/>
    <w:rsid w:val="00CD200A"/>
    <w:rsid w:val="00CD2015"/>
    <w:rsid w:val="00CD6395"/>
    <w:rsid w:val="00CD7C60"/>
    <w:rsid w:val="00CD7CB2"/>
    <w:rsid w:val="00CE025B"/>
    <w:rsid w:val="00CE0BE4"/>
    <w:rsid w:val="00CE137F"/>
    <w:rsid w:val="00CE13AF"/>
    <w:rsid w:val="00CE352C"/>
    <w:rsid w:val="00CE68FD"/>
    <w:rsid w:val="00CE6B87"/>
    <w:rsid w:val="00CE6E42"/>
    <w:rsid w:val="00CF1249"/>
    <w:rsid w:val="00CF1A3E"/>
    <w:rsid w:val="00CF3B0C"/>
    <w:rsid w:val="00CF471D"/>
    <w:rsid w:val="00CF4BBF"/>
    <w:rsid w:val="00CF78CC"/>
    <w:rsid w:val="00D009C2"/>
    <w:rsid w:val="00D01AFA"/>
    <w:rsid w:val="00D039C7"/>
    <w:rsid w:val="00D058F2"/>
    <w:rsid w:val="00D06FD3"/>
    <w:rsid w:val="00D1104A"/>
    <w:rsid w:val="00D110E4"/>
    <w:rsid w:val="00D12308"/>
    <w:rsid w:val="00D126D1"/>
    <w:rsid w:val="00D15EE9"/>
    <w:rsid w:val="00D16C23"/>
    <w:rsid w:val="00D16CEA"/>
    <w:rsid w:val="00D17A2D"/>
    <w:rsid w:val="00D32EA8"/>
    <w:rsid w:val="00D373BF"/>
    <w:rsid w:val="00D37D76"/>
    <w:rsid w:val="00D4190F"/>
    <w:rsid w:val="00D4260A"/>
    <w:rsid w:val="00D42DAA"/>
    <w:rsid w:val="00D42DF1"/>
    <w:rsid w:val="00D47F27"/>
    <w:rsid w:val="00D505AC"/>
    <w:rsid w:val="00D51AC7"/>
    <w:rsid w:val="00D53E16"/>
    <w:rsid w:val="00D54454"/>
    <w:rsid w:val="00D54EC9"/>
    <w:rsid w:val="00D556E0"/>
    <w:rsid w:val="00D5689E"/>
    <w:rsid w:val="00D5698C"/>
    <w:rsid w:val="00D577F5"/>
    <w:rsid w:val="00D6056B"/>
    <w:rsid w:val="00D6080F"/>
    <w:rsid w:val="00D62081"/>
    <w:rsid w:val="00D64B53"/>
    <w:rsid w:val="00D65414"/>
    <w:rsid w:val="00D65F69"/>
    <w:rsid w:val="00D66457"/>
    <w:rsid w:val="00D67FED"/>
    <w:rsid w:val="00D703F3"/>
    <w:rsid w:val="00D71065"/>
    <w:rsid w:val="00D751D3"/>
    <w:rsid w:val="00D75A6D"/>
    <w:rsid w:val="00D7619A"/>
    <w:rsid w:val="00D77D6A"/>
    <w:rsid w:val="00D80BA9"/>
    <w:rsid w:val="00D80EA2"/>
    <w:rsid w:val="00D81199"/>
    <w:rsid w:val="00D83A48"/>
    <w:rsid w:val="00D84BC4"/>
    <w:rsid w:val="00D857BB"/>
    <w:rsid w:val="00D9084A"/>
    <w:rsid w:val="00D921D5"/>
    <w:rsid w:val="00D96877"/>
    <w:rsid w:val="00D96A67"/>
    <w:rsid w:val="00D97FB0"/>
    <w:rsid w:val="00DA0C76"/>
    <w:rsid w:val="00DA3D93"/>
    <w:rsid w:val="00DA4E16"/>
    <w:rsid w:val="00DA57BA"/>
    <w:rsid w:val="00DA6D88"/>
    <w:rsid w:val="00DA6FEF"/>
    <w:rsid w:val="00DB0124"/>
    <w:rsid w:val="00DB08F9"/>
    <w:rsid w:val="00DB1B04"/>
    <w:rsid w:val="00DB329C"/>
    <w:rsid w:val="00DB3471"/>
    <w:rsid w:val="00DB37BD"/>
    <w:rsid w:val="00DB4E22"/>
    <w:rsid w:val="00DB56E7"/>
    <w:rsid w:val="00DC050C"/>
    <w:rsid w:val="00DC0972"/>
    <w:rsid w:val="00DC0994"/>
    <w:rsid w:val="00DC32DF"/>
    <w:rsid w:val="00DC45F6"/>
    <w:rsid w:val="00DC491A"/>
    <w:rsid w:val="00DC6311"/>
    <w:rsid w:val="00DC6867"/>
    <w:rsid w:val="00DC6AC4"/>
    <w:rsid w:val="00DD359A"/>
    <w:rsid w:val="00DD3B13"/>
    <w:rsid w:val="00DD4BEA"/>
    <w:rsid w:val="00DD51ED"/>
    <w:rsid w:val="00DD5751"/>
    <w:rsid w:val="00DD578A"/>
    <w:rsid w:val="00DD773A"/>
    <w:rsid w:val="00DD7D41"/>
    <w:rsid w:val="00DE16DF"/>
    <w:rsid w:val="00DE1ED0"/>
    <w:rsid w:val="00DE301B"/>
    <w:rsid w:val="00DE37FE"/>
    <w:rsid w:val="00DE3DC9"/>
    <w:rsid w:val="00DE40D6"/>
    <w:rsid w:val="00DF09E7"/>
    <w:rsid w:val="00DF2814"/>
    <w:rsid w:val="00DF49AA"/>
    <w:rsid w:val="00DF60D9"/>
    <w:rsid w:val="00DF7621"/>
    <w:rsid w:val="00E006EC"/>
    <w:rsid w:val="00E0207E"/>
    <w:rsid w:val="00E031EB"/>
    <w:rsid w:val="00E06DEC"/>
    <w:rsid w:val="00E118AF"/>
    <w:rsid w:val="00E11EB0"/>
    <w:rsid w:val="00E14423"/>
    <w:rsid w:val="00E1500A"/>
    <w:rsid w:val="00E15B07"/>
    <w:rsid w:val="00E168B2"/>
    <w:rsid w:val="00E17933"/>
    <w:rsid w:val="00E20704"/>
    <w:rsid w:val="00E21FDC"/>
    <w:rsid w:val="00E22124"/>
    <w:rsid w:val="00E25301"/>
    <w:rsid w:val="00E25BF5"/>
    <w:rsid w:val="00E267CA"/>
    <w:rsid w:val="00E305DE"/>
    <w:rsid w:val="00E30715"/>
    <w:rsid w:val="00E312A5"/>
    <w:rsid w:val="00E33129"/>
    <w:rsid w:val="00E35A5D"/>
    <w:rsid w:val="00E35D4C"/>
    <w:rsid w:val="00E36702"/>
    <w:rsid w:val="00E37BB7"/>
    <w:rsid w:val="00E423CA"/>
    <w:rsid w:val="00E4243E"/>
    <w:rsid w:val="00E4262D"/>
    <w:rsid w:val="00E435CC"/>
    <w:rsid w:val="00E4609A"/>
    <w:rsid w:val="00E470E6"/>
    <w:rsid w:val="00E51054"/>
    <w:rsid w:val="00E536B8"/>
    <w:rsid w:val="00E54419"/>
    <w:rsid w:val="00E545F2"/>
    <w:rsid w:val="00E5504D"/>
    <w:rsid w:val="00E57B6E"/>
    <w:rsid w:val="00E61CA6"/>
    <w:rsid w:val="00E626FC"/>
    <w:rsid w:val="00E6411F"/>
    <w:rsid w:val="00E65970"/>
    <w:rsid w:val="00E67265"/>
    <w:rsid w:val="00E71F61"/>
    <w:rsid w:val="00E7218F"/>
    <w:rsid w:val="00E721A1"/>
    <w:rsid w:val="00E74C92"/>
    <w:rsid w:val="00E7635F"/>
    <w:rsid w:val="00E81318"/>
    <w:rsid w:val="00E8340A"/>
    <w:rsid w:val="00E8540F"/>
    <w:rsid w:val="00E85EC3"/>
    <w:rsid w:val="00E8723F"/>
    <w:rsid w:val="00E878D8"/>
    <w:rsid w:val="00E87CB4"/>
    <w:rsid w:val="00E909C1"/>
    <w:rsid w:val="00E91634"/>
    <w:rsid w:val="00E92F0C"/>
    <w:rsid w:val="00E9318E"/>
    <w:rsid w:val="00E9469D"/>
    <w:rsid w:val="00E948DF"/>
    <w:rsid w:val="00E95BFA"/>
    <w:rsid w:val="00E96003"/>
    <w:rsid w:val="00E9693E"/>
    <w:rsid w:val="00E975C8"/>
    <w:rsid w:val="00E97962"/>
    <w:rsid w:val="00EA1035"/>
    <w:rsid w:val="00EA42CB"/>
    <w:rsid w:val="00EA457A"/>
    <w:rsid w:val="00EA4992"/>
    <w:rsid w:val="00EA49E1"/>
    <w:rsid w:val="00EA4ED3"/>
    <w:rsid w:val="00EA5BA5"/>
    <w:rsid w:val="00EB190C"/>
    <w:rsid w:val="00EB463D"/>
    <w:rsid w:val="00EB476E"/>
    <w:rsid w:val="00EB6515"/>
    <w:rsid w:val="00EB705B"/>
    <w:rsid w:val="00EC05E8"/>
    <w:rsid w:val="00EC192D"/>
    <w:rsid w:val="00EC2B31"/>
    <w:rsid w:val="00EC4689"/>
    <w:rsid w:val="00EC6D93"/>
    <w:rsid w:val="00EC7631"/>
    <w:rsid w:val="00EC7CFE"/>
    <w:rsid w:val="00EC7F53"/>
    <w:rsid w:val="00ED3232"/>
    <w:rsid w:val="00ED53C6"/>
    <w:rsid w:val="00ED7B8F"/>
    <w:rsid w:val="00EE2E95"/>
    <w:rsid w:val="00EE301D"/>
    <w:rsid w:val="00EE3E86"/>
    <w:rsid w:val="00EE563A"/>
    <w:rsid w:val="00EF7C8A"/>
    <w:rsid w:val="00F0189E"/>
    <w:rsid w:val="00F02302"/>
    <w:rsid w:val="00F023FA"/>
    <w:rsid w:val="00F0362E"/>
    <w:rsid w:val="00F03ABE"/>
    <w:rsid w:val="00F0425F"/>
    <w:rsid w:val="00F04C75"/>
    <w:rsid w:val="00F05A9D"/>
    <w:rsid w:val="00F072EB"/>
    <w:rsid w:val="00F074C2"/>
    <w:rsid w:val="00F11041"/>
    <w:rsid w:val="00F113A4"/>
    <w:rsid w:val="00F20385"/>
    <w:rsid w:val="00F20FA0"/>
    <w:rsid w:val="00F22394"/>
    <w:rsid w:val="00F25D86"/>
    <w:rsid w:val="00F3009A"/>
    <w:rsid w:val="00F35AEE"/>
    <w:rsid w:val="00F35F21"/>
    <w:rsid w:val="00F41D28"/>
    <w:rsid w:val="00F46B22"/>
    <w:rsid w:val="00F51007"/>
    <w:rsid w:val="00F51446"/>
    <w:rsid w:val="00F51B29"/>
    <w:rsid w:val="00F5223C"/>
    <w:rsid w:val="00F53F9D"/>
    <w:rsid w:val="00F55AC2"/>
    <w:rsid w:val="00F55E2B"/>
    <w:rsid w:val="00F568BC"/>
    <w:rsid w:val="00F57581"/>
    <w:rsid w:val="00F60E52"/>
    <w:rsid w:val="00F61C04"/>
    <w:rsid w:val="00F61DB9"/>
    <w:rsid w:val="00F6446B"/>
    <w:rsid w:val="00F67294"/>
    <w:rsid w:val="00F70070"/>
    <w:rsid w:val="00F71061"/>
    <w:rsid w:val="00F7160C"/>
    <w:rsid w:val="00F71C72"/>
    <w:rsid w:val="00F72454"/>
    <w:rsid w:val="00F72847"/>
    <w:rsid w:val="00F729BC"/>
    <w:rsid w:val="00F72DBA"/>
    <w:rsid w:val="00F74077"/>
    <w:rsid w:val="00F76690"/>
    <w:rsid w:val="00F7748B"/>
    <w:rsid w:val="00F8088F"/>
    <w:rsid w:val="00F83158"/>
    <w:rsid w:val="00F85AA8"/>
    <w:rsid w:val="00F91594"/>
    <w:rsid w:val="00F93104"/>
    <w:rsid w:val="00F9653A"/>
    <w:rsid w:val="00F970A9"/>
    <w:rsid w:val="00FA034F"/>
    <w:rsid w:val="00FA0BA6"/>
    <w:rsid w:val="00FA29F1"/>
    <w:rsid w:val="00FA2B2D"/>
    <w:rsid w:val="00FA3B13"/>
    <w:rsid w:val="00FA3F05"/>
    <w:rsid w:val="00FA5833"/>
    <w:rsid w:val="00FA5ECD"/>
    <w:rsid w:val="00FA65B1"/>
    <w:rsid w:val="00FA70D4"/>
    <w:rsid w:val="00FA72C3"/>
    <w:rsid w:val="00FA7480"/>
    <w:rsid w:val="00FB083E"/>
    <w:rsid w:val="00FB2250"/>
    <w:rsid w:val="00FB2AE6"/>
    <w:rsid w:val="00FB2FFF"/>
    <w:rsid w:val="00FB58F2"/>
    <w:rsid w:val="00FC19DE"/>
    <w:rsid w:val="00FD217E"/>
    <w:rsid w:val="00FD24DE"/>
    <w:rsid w:val="00FE0D9E"/>
    <w:rsid w:val="00FE2538"/>
    <w:rsid w:val="00FE30F0"/>
    <w:rsid w:val="00FE39B6"/>
    <w:rsid w:val="00FE402F"/>
    <w:rsid w:val="00FE5991"/>
    <w:rsid w:val="00FE786B"/>
    <w:rsid w:val="00FF5FD3"/>
    <w:rsid w:val="00FF724E"/>
    <w:rsid w:val="00FF7E50"/>
    <w:rsid w:val="0AF37BE2"/>
    <w:rsid w:val="21996E9A"/>
    <w:rsid w:val="27A476E7"/>
    <w:rsid w:val="2A544AE2"/>
    <w:rsid w:val="31490FF3"/>
    <w:rsid w:val="32643B58"/>
    <w:rsid w:val="3B0E43C9"/>
    <w:rsid w:val="3DBB522F"/>
    <w:rsid w:val="436440E1"/>
    <w:rsid w:val="49EF078E"/>
    <w:rsid w:val="59CA5A8C"/>
    <w:rsid w:val="5CE90203"/>
    <w:rsid w:val="5EAA6A62"/>
    <w:rsid w:val="5F012FDA"/>
    <w:rsid w:val="60307E49"/>
    <w:rsid w:val="60652DDB"/>
    <w:rsid w:val="66381DD7"/>
    <w:rsid w:val="6BCE674F"/>
    <w:rsid w:val="7A303CCA"/>
    <w:rsid w:val="7DB22262"/>
    <w:rsid w:val="7E3419C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name="Body Text" w:locked="1"/>
    <w:lsdException w:qFormat="1"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9"/>
    <w:pPr>
      <w:keepNext/>
      <w:keepLines/>
      <w:spacing w:before="260" w:after="260" w:line="416" w:lineRule="auto"/>
      <w:outlineLvl w:val="1"/>
    </w:pPr>
    <w:rPr>
      <w:rFonts w:ascii="Cambria" w:hAnsi="Cambria"/>
      <w:b/>
      <w:bCs/>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2"/>
    <w:qFormat/>
    <w:uiPriority w:val="99"/>
    <w:pPr>
      <w:jc w:val="left"/>
    </w:pPr>
  </w:style>
  <w:style w:type="paragraph" w:styleId="5">
    <w:name w:val="Body Text"/>
    <w:basedOn w:val="1"/>
    <w:link w:val="37"/>
    <w:semiHidden/>
    <w:unhideWhenUsed/>
    <w:qFormat/>
    <w:locked/>
    <w:uiPriority w:val="99"/>
    <w:pPr>
      <w:spacing w:after="120"/>
    </w:pPr>
  </w:style>
  <w:style w:type="paragraph" w:styleId="6">
    <w:name w:val="Body Text Indent"/>
    <w:basedOn w:val="1"/>
    <w:link w:val="36"/>
    <w:qFormat/>
    <w:locked/>
    <w:uiPriority w:val="99"/>
    <w:pPr>
      <w:spacing w:line="340" w:lineRule="atLeast"/>
      <w:ind w:firstLine="600"/>
    </w:pPr>
    <w:rPr>
      <w:sz w:val="30"/>
      <w:szCs w:val="20"/>
    </w:rPr>
  </w:style>
  <w:style w:type="paragraph" w:styleId="7">
    <w:name w:val="Plain Text"/>
    <w:basedOn w:val="1"/>
    <w:link w:val="33"/>
    <w:qFormat/>
    <w:locked/>
    <w:uiPriority w:val="99"/>
    <w:rPr>
      <w:rFonts w:ascii="宋体" w:hAnsi="Courier New"/>
      <w:szCs w:val="20"/>
    </w:rPr>
  </w:style>
  <w:style w:type="paragraph" w:styleId="8">
    <w:name w:val="Balloon Text"/>
    <w:basedOn w:val="1"/>
    <w:link w:val="25"/>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rFonts w:ascii="Calibri" w:hAnsi="Calibri"/>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99"/>
    <w:rPr>
      <w:rFonts w:cs="Times New Roman"/>
    </w:rPr>
  </w:style>
  <w:style w:type="character" w:styleId="18">
    <w:name w:val="Hyperlink"/>
    <w:qFormat/>
    <w:uiPriority w:val="99"/>
    <w:rPr>
      <w:rFonts w:cs="Times New Roman"/>
      <w:color w:val="0000FF"/>
      <w:u w:val="single"/>
    </w:rPr>
  </w:style>
  <w:style w:type="character" w:styleId="19">
    <w:name w:val="annotation reference"/>
    <w:semiHidden/>
    <w:qFormat/>
    <w:uiPriority w:val="99"/>
    <w:rPr>
      <w:rFonts w:cs="Times New Roman"/>
      <w:sz w:val="21"/>
    </w:rPr>
  </w:style>
  <w:style w:type="character" w:customStyle="1" w:styleId="20">
    <w:name w:val="标题 1 Char"/>
    <w:link w:val="2"/>
    <w:qFormat/>
    <w:locked/>
    <w:uiPriority w:val="99"/>
    <w:rPr>
      <w:rFonts w:ascii="Times New Roman" w:hAnsi="Times New Roman" w:eastAsia="宋体" w:cs="Times New Roman"/>
      <w:b/>
      <w:bCs/>
      <w:kern w:val="44"/>
      <w:sz w:val="44"/>
      <w:szCs w:val="44"/>
    </w:rPr>
  </w:style>
  <w:style w:type="character" w:customStyle="1" w:styleId="21">
    <w:name w:val="标题 2 Char"/>
    <w:link w:val="3"/>
    <w:qFormat/>
    <w:locked/>
    <w:uiPriority w:val="99"/>
    <w:rPr>
      <w:rFonts w:ascii="Cambria" w:hAnsi="Cambria" w:eastAsia="宋体" w:cs="Times New Roman"/>
      <w:b/>
      <w:bCs/>
      <w:sz w:val="32"/>
      <w:szCs w:val="32"/>
    </w:rPr>
  </w:style>
  <w:style w:type="character" w:customStyle="1" w:styleId="22">
    <w:name w:val="批注文字 Char"/>
    <w:link w:val="4"/>
    <w:qFormat/>
    <w:locked/>
    <w:uiPriority w:val="99"/>
    <w:rPr>
      <w:rFonts w:ascii="Times New Roman" w:hAnsi="Times New Roman" w:eastAsia="宋体" w:cs="Times New Roman"/>
      <w:sz w:val="24"/>
      <w:szCs w:val="24"/>
    </w:rPr>
  </w:style>
  <w:style w:type="character" w:customStyle="1" w:styleId="23">
    <w:name w:val="Body Text Indent Char"/>
    <w:semiHidden/>
    <w:qFormat/>
    <w:locked/>
    <w:uiPriority w:val="99"/>
    <w:rPr>
      <w:rFonts w:cs="Times New Roman"/>
      <w:sz w:val="24"/>
      <w:szCs w:val="24"/>
    </w:rPr>
  </w:style>
  <w:style w:type="character" w:customStyle="1" w:styleId="24">
    <w:name w:val="Plain Text Char"/>
    <w:semiHidden/>
    <w:qFormat/>
    <w:locked/>
    <w:uiPriority w:val="99"/>
    <w:rPr>
      <w:rFonts w:ascii="宋体" w:hAnsi="Courier New" w:cs="Courier New"/>
      <w:sz w:val="21"/>
      <w:szCs w:val="21"/>
    </w:rPr>
  </w:style>
  <w:style w:type="character" w:customStyle="1" w:styleId="25">
    <w:name w:val="批注框文本 Char"/>
    <w:link w:val="8"/>
    <w:semiHidden/>
    <w:qFormat/>
    <w:locked/>
    <w:uiPriority w:val="99"/>
    <w:rPr>
      <w:rFonts w:ascii="Times New Roman" w:hAnsi="Times New Roman" w:eastAsia="宋体" w:cs="Times New Roman"/>
      <w:sz w:val="18"/>
      <w:szCs w:val="18"/>
    </w:rPr>
  </w:style>
  <w:style w:type="character" w:customStyle="1" w:styleId="26">
    <w:name w:val="页脚 Char"/>
    <w:link w:val="9"/>
    <w:qFormat/>
    <w:locked/>
    <w:uiPriority w:val="99"/>
    <w:rPr>
      <w:rFonts w:cs="Times New Roman"/>
      <w:sz w:val="18"/>
      <w:szCs w:val="18"/>
    </w:rPr>
  </w:style>
  <w:style w:type="character" w:customStyle="1" w:styleId="27">
    <w:name w:val="页眉 Char"/>
    <w:link w:val="10"/>
    <w:qFormat/>
    <w:locked/>
    <w:uiPriority w:val="99"/>
    <w:rPr>
      <w:rFonts w:cs="Times New Roman"/>
      <w:sz w:val="18"/>
      <w:szCs w:val="18"/>
    </w:rPr>
  </w:style>
  <w:style w:type="paragraph" w:customStyle="1" w:styleId="28">
    <w:name w:val="列出段落1"/>
    <w:basedOn w:val="1"/>
    <w:qFormat/>
    <w:uiPriority w:val="0"/>
    <w:pPr>
      <w:ind w:firstLine="420" w:firstLineChars="200"/>
    </w:pPr>
    <w:rPr>
      <w:rFonts w:ascii="Calibri" w:hAnsi="Calibri"/>
      <w:szCs w:val="22"/>
    </w:rPr>
  </w:style>
  <w:style w:type="paragraph" w:customStyle="1" w:styleId="29">
    <w:name w:val="列出段落11"/>
    <w:basedOn w:val="1"/>
    <w:qFormat/>
    <w:uiPriority w:val="99"/>
    <w:pPr>
      <w:ind w:firstLine="420" w:firstLineChars="200"/>
    </w:pPr>
    <w:rPr>
      <w:rFonts w:ascii="Calibri" w:hAnsi="Calibri"/>
      <w:szCs w:val="22"/>
    </w:rPr>
  </w:style>
  <w:style w:type="paragraph" w:customStyle="1" w:styleId="30">
    <w:name w:val="_Style 1"/>
    <w:basedOn w:val="1"/>
    <w:qFormat/>
    <w:uiPriority w:val="99"/>
    <w:pPr>
      <w:ind w:firstLine="420" w:firstLineChars="200"/>
    </w:pPr>
    <w:rPr>
      <w:rFonts w:ascii="Calibri" w:hAnsi="Calibri"/>
      <w:szCs w:val="22"/>
    </w:rPr>
  </w:style>
  <w:style w:type="paragraph" w:customStyle="1" w:styleId="31">
    <w:name w:val="列出段落2"/>
    <w:basedOn w:val="1"/>
    <w:qFormat/>
    <w:uiPriority w:val="99"/>
    <w:pPr>
      <w:ind w:firstLine="420" w:firstLineChars="200"/>
    </w:pPr>
    <w:rPr>
      <w:rFonts w:ascii="Calibri" w:hAnsi="Calibri"/>
      <w:szCs w:val="22"/>
    </w:rPr>
  </w:style>
  <w:style w:type="paragraph" w:customStyle="1" w:styleId="32">
    <w:name w:val="List Paragraph1"/>
    <w:basedOn w:val="1"/>
    <w:qFormat/>
    <w:uiPriority w:val="99"/>
    <w:pPr>
      <w:ind w:firstLine="420" w:firstLineChars="200"/>
    </w:pPr>
  </w:style>
  <w:style w:type="character" w:customStyle="1" w:styleId="33">
    <w:name w:val="纯文本 Char"/>
    <w:link w:val="7"/>
    <w:qFormat/>
    <w:locked/>
    <w:uiPriority w:val="99"/>
    <w:rPr>
      <w:rFonts w:ascii="宋体" w:hAnsi="Courier New" w:eastAsia="宋体" w:cs="Times New Roman"/>
      <w:kern w:val="2"/>
      <w:sz w:val="21"/>
      <w:lang w:val="en-US" w:eastAsia="zh-CN" w:bidi="ar-SA"/>
    </w:rPr>
  </w:style>
  <w:style w:type="paragraph" w:customStyle="1" w:styleId="34">
    <w:name w:val="样式1"/>
    <w:basedOn w:val="1"/>
    <w:qFormat/>
    <w:uiPriority w:val="99"/>
    <w:pPr>
      <w:tabs>
        <w:tab w:val="left" w:pos="1182"/>
      </w:tabs>
      <w:spacing w:line="360" w:lineRule="auto"/>
      <w:jc w:val="center"/>
    </w:pPr>
    <w:rPr>
      <w:rFonts w:ascii="宋体" w:hAnsi="宋体" w:cs="宋体"/>
      <w:b/>
      <w:kern w:val="0"/>
      <w:sz w:val="36"/>
      <w:szCs w:val="36"/>
    </w:rPr>
  </w:style>
  <w:style w:type="paragraph" w:customStyle="1" w:styleId="35">
    <w:name w:val="样式2"/>
    <w:basedOn w:val="2"/>
    <w:qFormat/>
    <w:uiPriority w:val="99"/>
    <w:pPr>
      <w:spacing w:before="0" w:after="0" w:line="240" w:lineRule="auto"/>
      <w:jc w:val="center"/>
    </w:pPr>
    <w:rPr>
      <w:kern w:val="0"/>
    </w:rPr>
  </w:style>
  <w:style w:type="character" w:customStyle="1" w:styleId="36">
    <w:name w:val="正文文本缩进 Char"/>
    <w:link w:val="6"/>
    <w:qFormat/>
    <w:locked/>
    <w:uiPriority w:val="99"/>
    <w:rPr>
      <w:rFonts w:eastAsia="宋体" w:cs="Times New Roman"/>
      <w:kern w:val="2"/>
      <w:sz w:val="30"/>
      <w:lang w:val="en-US" w:eastAsia="zh-CN" w:bidi="ar-SA"/>
    </w:rPr>
  </w:style>
  <w:style w:type="character" w:customStyle="1" w:styleId="37">
    <w:name w:val="正文文本 Char"/>
    <w:basedOn w:val="16"/>
    <w:link w:val="5"/>
    <w:semiHidden/>
    <w:qFormat/>
    <w:uiPriority w:val="99"/>
    <w:rPr>
      <w:kern w:val="2"/>
      <w:sz w:val="21"/>
      <w:szCs w:val="24"/>
    </w:rPr>
  </w:style>
  <w:style w:type="table" w:customStyle="1" w:styleId="38">
    <w:name w:val="网格型1"/>
    <w:basedOn w:val="14"/>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A14EEB-2A2B-441D-9220-22F85A513FAC}">
  <ds:schemaRefs/>
</ds:datastoreItem>
</file>

<file path=docProps/app.xml><?xml version="1.0" encoding="utf-8"?>
<Properties xmlns="http://schemas.openxmlformats.org/officeDocument/2006/extended-properties" xmlns:vt="http://schemas.openxmlformats.org/officeDocument/2006/docPropsVTypes">
  <Template>Normal</Template>
  <Pages>40</Pages>
  <Words>3170</Words>
  <Characters>18071</Characters>
  <Lines>150</Lines>
  <Paragraphs>42</Paragraphs>
  <TotalTime>9</TotalTime>
  <ScaleCrop>false</ScaleCrop>
  <LinksUpToDate>false</LinksUpToDate>
  <CharactersWithSpaces>21199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2016-05-03T00:50:00Z</dcterms:created>
  <dc:creator>lenovo</dc:creator>
  <cp:lastModifiedBy>有点儿意思</cp:lastModifiedBy>
  <cp:lastPrinted>2020-09-27T09:32:00Z</cp:lastPrinted>
  <dcterms:modified xsi:type="dcterms:W3CDTF">2021-04-28T03:00:55Z</dcterms:modified>
  <cp:revision>955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7482E931448148FEAE72AF30EAD9ECEA</vt:lpwstr>
  </property>
</Properties>
</file>